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04F1AD">
      <w:pPr>
        <w:rPr>
          <w:rFonts w:eastAsia="仿宋_GB2312"/>
          <w:sz w:val="36"/>
          <w:szCs w:val="36"/>
        </w:rPr>
      </w:pPr>
      <w:bookmarkStart w:id="0" w:name="_Toc19927"/>
      <w:bookmarkStart w:id="1" w:name="_Toc32172"/>
      <w:bookmarkStart w:id="2" w:name="_Toc16475"/>
      <w:bookmarkStart w:id="3" w:name="_Toc10493"/>
      <w:bookmarkStart w:id="4" w:name="_Toc8475"/>
    </w:p>
    <w:p w14:paraId="0C9C3524">
      <w:pPr>
        <w:rPr>
          <w:rFonts w:eastAsia="仿宋_GB2312"/>
          <w:sz w:val="36"/>
          <w:szCs w:val="36"/>
        </w:rPr>
      </w:pPr>
    </w:p>
    <w:p w14:paraId="6626E8DF">
      <w:pPr>
        <w:adjustRightInd w:val="0"/>
        <w:snapToGrid w:val="0"/>
        <w:jc w:val="center"/>
        <w:outlineLvl w:val="0"/>
        <w:rPr>
          <w:rFonts w:eastAsia="方正小标宋_GBK"/>
          <w:bCs/>
          <w:color w:val="000000" w:themeColor="text1"/>
          <w:sz w:val="72"/>
          <w:szCs w:val="72"/>
          <w14:textFill>
            <w14:solidFill>
              <w14:schemeClr w14:val="tx1"/>
            </w14:solidFill>
          </w14:textFill>
        </w:rPr>
      </w:pPr>
      <w:bookmarkStart w:id="5" w:name="_Toc30567"/>
      <w:bookmarkStart w:id="6" w:name="_Toc157497059"/>
      <w:r>
        <w:rPr>
          <w:rFonts w:eastAsia="方正小标宋简体"/>
          <w:bCs/>
          <w:color w:val="000000" w:themeColor="text1"/>
          <w:sz w:val="72"/>
          <w:szCs w:val="72"/>
          <w14:textFill>
            <w14:solidFill>
              <w14:schemeClr w14:val="tx1"/>
            </w14:solidFill>
          </w14:textFill>
        </w:rPr>
        <w:t>建设项目环境影响报告表</w:t>
      </w:r>
      <w:bookmarkEnd w:id="5"/>
      <w:bookmarkEnd w:id="6"/>
    </w:p>
    <w:p w14:paraId="14F65564">
      <w:pPr>
        <w:adjustRightInd w:val="0"/>
        <w:snapToGrid w:val="0"/>
        <w:spacing w:before="192" w:beforeLines="80"/>
        <w:jc w:val="center"/>
        <w:rPr>
          <w:rFonts w:eastAsia="楷体_GB2312"/>
          <w:bCs/>
          <w:color w:val="000000" w:themeColor="text1"/>
          <w:sz w:val="48"/>
          <w:szCs w:val="48"/>
          <w14:textFill>
            <w14:solidFill>
              <w14:schemeClr w14:val="tx1"/>
            </w14:solidFill>
          </w14:textFill>
        </w:rPr>
      </w:pPr>
      <w:r>
        <w:rPr>
          <w:rFonts w:eastAsia="楷体_GB2312"/>
          <w:bCs/>
          <w:color w:val="000000" w:themeColor="text1"/>
          <w:sz w:val="48"/>
          <w:szCs w:val="48"/>
          <w14:textFill>
            <w14:solidFill>
              <w14:schemeClr w14:val="tx1"/>
            </w14:solidFill>
          </w14:textFill>
        </w:rPr>
        <w:t>（污染影响类）</w:t>
      </w:r>
    </w:p>
    <w:p w14:paraId="182F34D9">
      <w:pPr>
        <w:jc w:val="left"/>
        <w:rPr>
          <w:kern w:val="44"/>
        </w:rPr>
      </w:pPr>
    </w:p>
    <w:p w14:paraId="2538FAAE">
      <w:pPr>
        <w:jc w:val="left"/>
        <w:rPr>
          <w:rFonts w:eastAsia="仿宋"/>
          <w:sz w:val="52"/>
          <w:szCs w:val="52"/>
        </w:rPr>
      </w:pPr>
    </w:p>
    <w:p w14:paraId="792A2F06">
      <w:pPr>
        <w:ind w:firstLine="1040"/>
        <w:jc w:val="left"/>
        <w:rPr>
          <w:rFonts w:eastAsia="仿宋"/>
          <w:sz w:val="44"/>
          <w:szCs w:val="44"/>
        </w:rPr>
      </w:pPr>
    </w:p>
    <w:p w14:paraId="46081FA2">
      <w:pPr>
        <w:ind w:firstLine="1040"/>
        <w:jc w:val="left"/>
        <w:rPr>
          <w:rFonts w:eastAsia="仿宋"/>
          <w:sz w:val="44"/>
          <w:szCs w:val="44"/>
        </w:rPr>
      </w:pPr>
    </w:p>
    <w:p w14:paraId="5DE8829C">
      <w:pPr>
        <w:ind w:firstLine="1040"/>
        <w:jc w:val="left"/>
        <w:rPr>
          <w:rFonts w:eastAsia="仿宋"/>
          <w:sz w:val="44"/>
          <w:szCs w:val="44"/>
        </w:rPr>
      </w:pPr>
    </w:p>
    <w:p w14:paraId="729D093B">
      <w:pPr>
        <w:ind w:firstLine="1040"/>
        <w:jc w:val="left"/>
        <w:rPr>
          <w:rFonts w:eastAsia="仿宋"/>
          <w:sz w:val="44"/>
          <w:szCs w:val="44"/>
        </w:rPr>
      </w:pPr>
    </w:p>
    <w:p w14:paraId="7EA06C25">
      <w:pPr>
        <w:adjustRightInd w:val="0"/>
        <w:snapToGrid w:val="0"/>
        <w:spacing w:line="288" w:lineRule="auto"/>
        <w:ind w:left="2639" w:leftChars="495" w:hanging="1600" w:hangingChars="500"/>
        <w:rPr>
          <w:rFonts w:hint="default" w:ascii="Times New Roman" w:hAnsi="Times New Roman" w:eastAsia="仿宋_GB2312" w:cs="Times New Roman"/>
          <w:spacing w:val="-20"/>
          <w:sz w:val="36"/>
          <w:szCs w:val="36"/>
          <w:highlight w:val="none"/>
          <w:u w:val="single"/>
        </w:rPr>
      </w:pPr>
      <w:r>
        <w:rPr>
          <w:rFonts w:hint="default" w:ascii="Times New Roman" w:hAnsi="Times New Roman" w:eastAsia="仿宋_GB2312" w:cs="Times New Roman"/>
          <w:spacing w:val="-20"/>
          <w:sz w:val="36"/>
          <w:szCs w:val="36"/>
          <w:highlight w:val="none"/>
        </w:rPr>
        <w:t>项目名称：</w:t>
      </w:r>
      <w:r>
        <w:rPr>
          <w:rFonts w:hint="eastAsia" w:eastAsia="仿宋_GB2312"/>
          <w:color w:val="000000" w:themeColor="text1"/>
          <w:sz w:val="36"/>
          <w:szCs w:val="36"/>
          <w:u w:val="single"/>
          <w14:textFill>
            <w14:solidFill>
              <w14:schemeClr w14:val="tx1"/>
            </w14:solidFill>
          </w14:textFill>
        </w:rPr>
        <w:t>铁力市红博农资销售有限责任公司</w:t>
      </w:r>
      <w:r>
        <w:rPr>
          <w:rFonts w:hint="eastAsia" w:eastAsia="仿宋_GB2312"/>
          <w:color w:val="000000" w:themeColor="text1"/>
          <w:sz w:val="36"/>
          <w:szCs w:val="36"/>
          <w:u w:val="single"/>
          <w:lang w:val="en-US" w:eastAsia="zh-CN"/>
          <w14:textFill>
            <w14:solidFill>
              <w14:schemeClr w14:val="tx1"/>
            </w14:solidFill>
          </w14:textFill>
        </w:rPr>
        <w:t>生物质锅炉建设项目</w:t>
      </w:r>
      <w:r>
        <w:rPr>
          <w:rFonts w:hint="default" w:ascii="Times New Roman" w:hAnsi="Times New Roman" w:eastAsia="仿宋_GB2312" w:cs="Times New Roman"/>
          <w:sz w:val="36"/>
          <w:szCs w:val="36"/>
          <w:highlight w:val="none"/>
          <w:u w:val="single"/>
          <w:lang w:eastAsia="zh-CN"/>
        </w:rPr>
        <w:t xml:space="preserve">  </w:t>
      </w:r>
      <w:r>
        <w:rPr>
          <w:rFonts w:hint="default" w:ascii="Times New Roman" w:hAnsi="Times New Roman" w:eastAsia="仿宋_GB2312" w:cs="Times New Roman"/>
          <w:sz w:val="36"/>
          <w:szCs w:val="36"/>
          <w:highlight w:val="none"/>
          <w:u w:val="single"/>
        </w:rPr>
        <w:t xml:space="preserve">                   </w:t>
      </w:r>
    </w:p>
    <w:p w14:paraId="629B5A9D">
      <w:pPr>
        <w:adjustRightInd w:val="0"/>
        <w:snapToGrid w:val="0"/>
        <w:spacing w:line="288" w:lineRule="auto"/>
        <w:ind w:left="3759" w:leftChars="495" w:hanging="2720" w:hangingChars="850"/>
        <w:rPr>
          <w:rFonts w:hint="default" w:ascii="Times New Roman" w:hAnsi="Times New Roman" w:eastAsia="仿宋_GB2312" w:cs="Times New Roman"/>
          <w:spacing w:val="-20"/>
          <w:sz w:val="36"/>
          <w:szCs w:val="36"/>
          <w:highlight w:val="none"/>
          <w:u w:val="single"/>
        </w:rPr>
      </w:pPr>
      <w:r>
        <w:rPr>
          <w:rFonts w:hint="default" w:ascii="Times New Roman" w:hAnsi="Times New Roman" w:eastAsia="仿宋_GB2312" w:cs="Times New Roman"/>
          <w:spacing w:val="-20"/>
          <w:sz w:val="36"/>
          <w:szCs w:val="36"/>
          <w:highlight w:val="none"/>
        </w:rPr>
        <w:t>建设单位（盖章）：</w:t>
      </w:r>
      <w:r>
        <w:rPr>
          <w:rFonts w:hint="eastAsia" w:eastAsia="仿宋_GB2312"/>
          <w:color w:val="000000" w:themeColor="text1"/>
          <w:sz w:val="36"/>
          <w:szCs w:val="36"/>
          <w:u w:val="single"/>
          <w14:textFill>
            <w14:solidFill>
              <w14:schemeClr w14:val="tx1"/>
            </w14:solidFill>
          </w14:textFill>
        </w:rPr>
        <w:t>铁力市红博农资销售有限责任公司</w:t>
      </w:r>
      <w:r>
        <w:rPr>
          <w:rFonts w:hint="default" w:ascii="Times New Roman" w:hAnsi="Times New Roman" w:eastAsia="仿宋_GB2312" w:cs="Times New Roman"/>
          <w:sz w:val="36"/>
          <w:szCs w:val="36"/>
          <w:highlight w:val="none"/>
          <w:u w:val="single"/>
        </w:rPr>
        <w:t xml:space="preserve">  </w:t>
      </w:r>
      <w:r>
        <w:rPr>
          <w:rFonts w:hint="eastAsia" w:eastAsia="仿宋_GB2312" w:cs="Times New Roman"/>
          <w:sz w:val="36"/>
          <w:szCs w:val="36"/>
          <w:highlight w:val="none"/>
          <w:u w:val="single"/>
          <w:lang w:val="en-US" w:eastAsia="zh-CN"/>
        </w:rPr>
        <w:t xml:space="preserve">  </w:t>
      </w:r>
      <w:r>
        <w:rPr>
          <w:rFonts w:hint="default" w:ascii="Times New Roman" w:hAnsi="Times New Roman" w:eastAsia="仿宋_GB2312" w:cs="Times New Roman"/>
          <w:sz w:val="36"/>
          <w:szCs w:val="36"/>
          <w:highlight w:val="none"/>
          <w:u w:val="single"/>
        </w:rPr>
        <w:t xml:space="preserve"> </w:t>
      </w:r>
      <w:r>
        <w:rPr>
          <w:rFonts w:hint="eastAsia" w:ascii="Times New Roman" w:hAnsi="Times New Roman" w:eastAsia="仿宋_GB2312" w:cs="Times New Roman"/>
          <w:sz w:val="36"/>
          <w:szCs w:val="36"/>
          <w:highlight w:val="none"/>
          <w:u w:val="single"/>
          <w:lang w:val="en-US" w:eastAsia="zh-CN"/>
        </w:rPr>
        <w:t xml:space="preserve">                      </w:t>
      </w:r>
      <w:r>
        <w:rPr>
          <w:rFonts w:hint="default" w:ascii="Times New Roman" w:hAnsi="Times New Roman" w:eastAsia="仿宋_GB2312" w:cs="Times New Roman"/>
          <w:sz w:val="36"/>
          <w:szCs w:val="36"/>
          <w:highlight w:val="none"/>
          <w:u w:val="single"/>
        </w:rPr>
        <w:t xml:space="preserve"> </w:t>
      </w:r>
      <w:r>
        <w:rPr>
          <w:rFonts w:hint="default" w:ascii="Times New Roman" w:hAnsi="Times New Roman" w:eastAsia="仿宋_GB2312" w:cs="Times New Roman"/>
          <w:spacing w:val="-20"/>
          <w:sz w:val="36"/>
          <w:szCs w:val="36"/>
          <w:highlight w:val="none"/>
          <w:u w:val="single"/>
        </w:rPr>
        <w:t xml:space="preserve"> </w:t>
      </w:r>
    </w:p>
    <w:p w14:paraId="55521813">
      <w:pPr>
        <w:adjustRightInd w:val="0"/>
        <w:snapToGrid w:val="0"/>
        <w:spacing w:line="288" w:lineRule="auto"/>
        <w:ind w:firstLine="1040"/>
        <w:rPr>
          <w:rFonts w:hint="default" w:ascii="Times New Roman" w:hAnsi="Times New Roman" w:cs="Times New Roman" w:eastAsiaTheme="minorEastAsia"/>
          <w:sz w:val="36"/>
          <w:szCs w:val="36"/>
          <w:highlight w:val="none"/>
          <w:u w:val="single"/>
        </w:rPr>
      </w:pPr>
      <w:r>
        <w:rPr>
          <w:rFonts w:hint="default" w:ascii="Times New Roman" w:hAnsi="Times New Roman" w:eastAsia="仿宋_GB2312" w:cs="Times New Roman"/>
          <w:sz w:val="36"/>
          <w:szCs w:val="36"/>
          <w:highlight w:val="none"/>
        </w:rPr>
        <w:t>编制日期：</w:t>
      </w:r>
      <w:r>
        <w:rPr>
          <w:rFonts w:hint="default" w:ascii="Times New Roman" w:hAnsi="Times New Roman" w:eastAsia="仿宋_GB2312" w:cs="Times New Roman"/>
          <w:sz w:val="36"/>
          <w:szCs w:val="36"/>
          <w:highlight w:val="none"/>
          <w:u w:val="single"/>
        </w:rPr>
        <w:t xml:space="preserve">           202</w:t>
      </w:r>
      <w:r>
        <w:rPr>
          <w:rFonts w:hint="default" w:ascii="Times New Roman" w:hAnsi="Times New Roman" w:eastAsia="仿宋_GB2312" w:cs="Times New Roman"/>
          <w:sz w:val="36"/>
          <w:szCs w:val="36"/>
          <w:highlight w:val="none"/>
          <w:u w:val="single"/>
          <w:lang w:val="en-US" w:eastAsia="zh-CN"/>
        </w:rPr>
        <w:t>5</w:t>
      </w:r>
      <w:r>
        <w:rPr>
          <w:rFonts w:hint="default" w:ascii="Times New Roman" w:hAnsi="Times New Roman" w:eastAsia="仿宋_GB2312" w:cs="Times New Roman"/>
          <w:sz w:val="36"/>
          <w:szCs w:val="36"/>
          <w:highlight w:val="none"/>
          <w:u w:val="single"/>
        </w:rPr>
        <w:t>年</w:t>
      </w:r>
      <w:r>
        <w:rPr>
          <w:rFonts w:hint="eastAsia" w:eastAsia="仿宋_GB2312" w:cs="Times New Roman"/>
          <w:sz w:val="36"/>
          <w:szCs w:val="36"/>
          <w:highlight w:val="none"/>
          <w:u w:val="single"/>
          <w:lang w:val="en-US" w:eastAsia="zh-CN"/>
        </w:rPr>
        <w:t>11</w:t>
      </w:r>
      <w:r>
        <w:rPr>
          <w:rFonts w:hint="default" w:ascii="Times New Roman" w:hAnsi="Times New Roman" w:eastAsia="仿宋_GB2312" w:cs="Times New Roman"/>
          <w:sz w:val="36"/>
          <w:szCs w:val="36"/>
          <w:highlight w:val="none"/>
          <w:u w:val="single"/>
        </w:rPr>
        <w:t xml:space="preserve">月             </w:t>
      </w:r>
      <w:r>
        <w:rPr>
          <w:rFonts w:hint="default" w:ascii="Times New Roman" w:hAnsi="Times New Roman" w:cs="Times New Roman" w:eastAsiaTheme="minorEastAsia"/>
          <w:sz w:val="36"/>
          <w:szCs w:val="36"/>
          <w:highlight w:val="none"/>
          <w:u w:val="single"/>
        </w:rPr>
        <w:t xml:space="preserve"> </w:t>
      </w:r>
    </w:p>
    <w:p w14:paraId="52222D0C">
      <w:pPr>
        <w:adjustRightInd w:val="0"/>
        <w:snapToGrid w:val="0"/>
        <w:spacing w:line="288" w:lineRule="auto"/>
        <w:ind w:firstLine="1040"/>
        <w:rPr>
          <w:rFonts w:eastAsia="仿宋_GB2312"/>
          <w:sz w:val="36"/>
          <w:szCs w:val="36"/>
        </w:rPr>
      </w:pPr>
      <w:bookmarkStart w:id="7" w:name="_Hlk57884087"/>
    </w:p>
    <w:p w14:paraId="1FA0892A">
      <w:pPr>
        <w:adjustRightInd w:val="0"/>
        <w:snapToGrid w:val="0"/>
        <w:spacing w:line="288" w:lineRule="auto"/>
        <w:ind w:firstLine="1040"/>
        <w:rPr>
          <w:rFonts w:eastAsia="仿宋_GB2312"/>
          <w:sz w:val="36"/>
          <w:szCs w:val="36"/>
        </w:rPr>
      </w:pPr>
    </w:p>
    <w:p w14:paraId="723C39F0">
      <w:pPr>
        <w:adjustRightInd w:val="0"/>
        <w:snapToGrid w:val="0"/>
        <w:spacing w:line="288" w:lineRule="auto"/>
        <w:ind w:firstLine="1040"/>
        <w:rPr>
          <w:rFonts w:eastAsia="仿宋_GB2312"/>
          <w:sz w:val="36"/>
          <w:szCs w:val="36"/>
        </w:rPr>
      </w:pPr>
    </w:p>
    <w:p w14:paraId="7FC4930B">
      <w:pPr>
        <w:adjustRightInd w:val="0"/>
        <w:snapToGrid w:val="0"/>
        <w:spacing w:line="288" w:lineRule="auto"/>
        <w:ind w:firstLine="1040"/>
        <w:rPr>
          <w:rFonts w:eastAsia="仿宋_GB2312"/>
          <w:sz w:val="36"/>
          <w:szCs w:val="36"/>
        </w:rPr>
      </w:pPr>
    </w:p>
    <w:p w14:paraId="6F7A24A8">
      <w:pPr>
        <w:adjustRightInd w:val="0"/>
        <w:snapToGrid w:val="0"/>
        <w:spacing w:line="288" w:lineRule="auto"/>
        <w:ind w:firstLine="1040"/>
        <w:rPr>
          <w:rFonts w:eastAsia="仿宋_GB2312"/>
          <w:sz w:val="36"/>
          <w:szCs w:val="36"/>
        </w:rPr>
      </w:pPr>
    </w:p>
    <w:p w14:paraId="1CD22BA2">
      <w:pPr>
        <w:adjustRightInd w:val="0"/>
        <w:snapToGrid w:val="0"/>
        <w:spacing w:line="288" w:lineRule="auto"/>
        <w:ind w:firstLine="1040"/>
        <w:rPr>
          <w:rFonts w:eastAsia="仿宋_GB2312"/>
          <w:sz w:val="36"/>
          <w:szCs w:val="36"/>
        </w:rPr>
      </w:pPr>
    </w:p>
    <w:bookmarkEnd w:id="7"/>
    <w:p w14:paraId="2ECB47F1">
      <w:pPr>
        <w:adjustRightInd w:val="0"/>
        <w:snapToGrid w:val="0"/>
        <w:spacing w:line="288" w:lineRule="auto"/>
        <w:jc w:val="center"/>
        <w:rPr>
          <w:rFonts w:eastAsia="楷体_GB2312"/>
          <w:sz w:val="36"/>
          <w:szCs w:val="36"/>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r>
        <w:rPr>
          <w:rFonts w:eastAsia="楷体_GB2312"/>
          <w:sz w:val="36"/>
          <w:szCs w:val="36"/>
        </w:rPr>
        <w:t>中华人民共和国生态环境部制</w:t>
      </w:r>
    </w:p>
    <w:p w14:paraId="725B1617">
      <w:pPr>
        <w:rPr>
          <w:rFonts w:hint="eastAsia" w:ascii="Times New Roman" w:hAnsi="Times New Roman" w:eastAsia="宋体" w:cs="Times New Roman"/>
          <w:color w:val="auto"/>
          <w:highlight w:val="none"/>
          <w:lang w:eastAsia="zh-CN"/>
        </w:rPr>
        <w:sectPr>
          <w:footerReference r:id="rId4" w:type="default"/>
          <w:pgSz w:w="11906" w:h="16838"/>
          <w:pgMar w:top="1701" w:right="1531" w:bottom="1701" w:left="1531" w:header="794" w:footer="1077" w:gutter="0"/>
          <w:pgBorders>
            <w:top w:val="none" w:sz="0" w:space="0"/>
            <w:left w:val="none" w:sz="0" w:space="0"/>
            <w:bottom w:val="none" w:sz="0" w:space="0"/>
            <w:right w:val="none" w:sz="0" w:space="0"/>
          </w:pgBorders>
          <w:pgNumType w:start="1"/>
          <w:cols w:space="720" w:num="1"/>
          <w:docGrid w:linePitch="312" w:charSpace="0"/>
        </w:sectPr>
      </w:pPr>
      <w:r>
        <w:drawing>
          <wp:inline distT="0" distB="0" distL="114300" distR="114300">
            <wp:extent cx="5746115" cy="7880350"/>
            <wp:effectExtent l="0" t="0" r="6985" b="6350"/>
            <wp:docPr id="4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2"/>
                    <pic:cNvPicPr>
                      <a:picLocks noChangeAspect="1"/>
                    </pic:cNvPicPr>
                  </pic:nvPicPr>
                  <pic:blipFill>
                    <a:blip r:embed="rId12"/>
                    <a:stretch>
                      <a:fillRect/>
                    </a:stretch>
                  </pic:blipFill>
                  <pic:spPr>
                    <a:xfrm>
                      <a:off x="0" y="0"/>
                      <a:ext cx="5746115" cy="7880350"/>
                    </a:xfrm>
                    <a:prstGeom prst="rect">
                      <a:avLst/>
                    </a:prstGeom>
                    <a:noFill/>
                    <a:ln>
                      <a:noFill/>
                    </a:ln>
                  </pic:spPr>
                </pic:pic>
              </a:graphicData>
            </a:graphic>
          </wp:inline>
        </w:drawing>
      </w:r>
    </w:p>
    <w:p w14:paraId="4B1EE741">
      <w:pPr>
        <w:pStyle w:val="28"/>
        <w:tabs>
          <w:tab w:val="right" w:leader="dot" w:pos="8844"/>
          <w:tab w:val="clear" w:pos="9459"/>
        </w:tabs>
        <w:spacing w:line="360" w:lineRule="auto"/>
        <w:jc w:val="center"/>
        <w:rPr>
          <w:rFonts w:hint="default" w:ascii="Times New Roman" w:hAnsi="Times New Roman" w:eastAsia="宋体" w:cs="Times New Roman"/>
          <w:color w:val="auto"/>
          <w:w w:val="100"/>
          <w:kern w:val="2"/>
          <w:sz w:val="28"/>
          <w:szCs w:val="32"/>
          <w:highlight w:val="none"/>
          <w:lang w:val="en-US" w:eastAsia="zh-CN" w:bidi="ar-SA"/>
        </w:rPr>
      </w:pPr>
      <w:r>
        <w:rPr>
          <w:rFonts w:hint="default" w:ascii="Times New Roman" w:hAnsi="Times New Roman" w:cs="Times New Roman"/>
          <w:b/>
          <w:bCs/>
          <w:color w:val="auto"/>
          <w:sz w:val="36"/>
          <w:szCs w:val="36"/>
          <w:highlight w:val="none"/>
          <w:lang w:val="en-US" w:eastAsia="zh-CN"/>
        </w:rPr>
        <w:t>目</w:t>
      </w:r>
      <w:r>
        <w:rPr>
          <w:rFonts w:hint="eastAsia" w:cs="Times New Roman"/>
          <w:b/>
          <w:bCs/>
          <w:color w:val="auto"/>
          <w:sz w:val="36"/>
          <w:szCs w:val="36"/>
          <w:highlight w:val="none"/>
          <w:lang w:val="en-US" w:eastAsia="zh-CN"/>
        </w:rPr>
        <w:t xml:space="preserve">  </w:t>
      </w:r>
      <w:r>
        <w:rPr>
          <w:rFonts w:hint="default" w:ascii="Times New Roman" w:hAnsi="Times New Roman" w:cs="Times New Roman"/>
          <w:b/>
          <w:bCs/>
          <w:color w:val="auto"/>
          <w:sz w:val="36"/>
          <w:szCs w:val="36"/>
          <w:highlight w:val="none"/>
          <w:lang w:val="en-US" w:eastAsia="zh-CN"/>
        </w:rPr>
        <w:t>录</w:t>
      </w:r>
      <w:bookmarkEnd w:id="0"/>
      <w:bookmarkEnd w:id="1"/>
      <w:bookmarkEnd w:id="2"/>
      <w:bookmarkEnd w:id="3"/>
      <w:bookmarkEnd w:id="4"/>
      <w:r>
        <w:rPr>
          <w:rFonts w:hint="default" w:ascii="Times New Roman" w:hAnsi="Times New Roman" w:eastAsia="宋体" w:cs="Times New Roman"/>
          <w:color w:val="auto"/>
          <w:w w:val="100"/>
          <w:sz w:val="28"/>
          <w:highlight w:val="none"/>
        </w:rPr>
        <w:fldChar w:fldCharType="begin"/>
      </w:r>
      <w:r>
        <w:rPr>
          <w:rFonts w:hint="default" w:ascii="Times New Roman" w:hAnsi="Times New Roman" w:eastAsia="宋体" w:cs="Times New Roman"/>
          <w:color w:val="auto"/>
          <w:w w:val="100"/>
          <w:sz w:val="28"/>
          <w:highlight w:val="none"/>
        </w:rPr>
        <w:instrText xml:space="preserve">TOC \o "1-1" \h \u </w:instrText>
      </w:r>
      <w:r>
        <w:rPr>
          <w:rFonts w:hint="default" w:ascii="Times New Roman" w:hAnsi="Times New Roman" w:eastAsia="宋体" w:cs="Times New Roman"/>
          <w:color w:val="auto"/>
          <w:w w:val="100"/>
          <w:sz w:val="28"/>
          <w:highlight w:val="none"/>
        </w:rPr>
        <w:fldChar w:fldCharType="separate"/>
      </w:r>
    </w:p>
    <w:p w14:paraId="495D18EA">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w w:val="100"/>
          <w:sz w:val="28"/>
          <w:szCs w:val="24"/>
          <w:highlight w:val="none"/>
        </w:rPr>
      </w:pP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HYPERLINK \l _Toc12558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snapToGrid w:val="0"/>
          <w:color w:val="auto"/>
          <w:w w:val="100"/>
          <w:sz w:val="28"/>
          <w:szCs w:val="24"/>
          <w:highlight w:val="none"/>
        </w:rPr>
        <w:t>一、建设项目基本情况</w:t>
      </w:r>
      <w:r>
        <w:rPr>
          <w:rFonts w:hint="default" w:ascii="Times New Roman" w:hAnsi="Times New Roman" w:eastAsia="宋体" w:cs="Times New Roman"/>
          <w:color w:val="auto"/>
          <w:w w:val="100"/>
          <w:sz w:val="28"/>
          <w:szCs w:val="24"/>
          <w:highlight w:val="none"/>
        </w:rPr>
        <w:tab/>
      </w: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PAGEREF _Toc12558 \h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color w:val="auto"/>
          <w:w w:val="100"/>
          <w:sz w:val="28"/>
          <w:szCs w:val="24"/>
          <w:highlight w:val="none"/>
        </w:rPr>
        <w:t>1</w:t>
      </w:r>
      <w:r>
        <w:rPr>
          <w:rFonts w:hint="default" w:ascii="Times New Roman" w:hAnsi="Times New Roman" w:eastAsia="宋体" w:cs="Times New Roman"/>
          <w:color w:val="auto"/>
          <w:w w:val="100"/>
          <w:sz w:val="28"/>
          <w:szCs w:val="24"/>
          <w:highlight w:val="none"/>
        </w:rPr>
        <w:fldChar w:fldCharType="end"/>
      </w:r>
      <w:r>
        <w:rPr>
          <w:rFonts w:hint="default" w:ascii="Times New Roman" w:hAnsi="Times New Roman" w:eastAsia="宋体" w:cs="Times New Roman"/>
          <w:color w:val="auto"/>
          <w:w w:val="100"/>
          <w:sz w:val="28"/>
          <w:szCs w:val="24"/>
          <w:highlight w:val="none"/>
        </w:rPr>
        <w:fldChar w:fldCharType="end"/>
      </w:r>
    </w:p>
    <w:p w14:paraId="0B075954">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w w:val="100"/>
          <w:sz w:val="28"/>
          <w:szCs w:val="24"/>
          <w:highlight w:val="none"/>
        </w:rPr>
      </w:pP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HYPERLINK \l _Toc24532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snapToGrid w:val="0"/>
          <w:color w:val="auto"/>
          <w:w w:val="100"/>
          <w:sz w:val="28"/>
          <w:szCs w:val="24"/>
          <w:highlight w:val="none"/>
        </w:rPr>
        <w:t>二、建设项目工程分析</w:t>
      </w:r>
      <w:r>
        <w:rPr>
          <w:rFonts w:hint="default" w:ascii="Times New Roman" w:hAnsi="Times New Roman" w:eastAsia="宋体" w:cs="Times New Roman"/>
          <w:color w:val="auto"/>
          <w:w w:val="100"/>
          <w:sz w:val="28"/>
          <w:szCs w:val="24"/>
          <w:highlight w:val="none"/>
        </w:rPr>
        <w:tab/>
      </w: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PAGEREF _Toc24532 \h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color w:val="auto"/>
          <w:w w:val="100"/>
          <w:sz w:val="28"/>
          <w:szCs w:val="24"/>
          <w:highlight w:val="none"/>
        </w:rPr>
        <w:t>9</w:t>
      </w:r>
      <w:r>
        <w:rPr>
          <w:rFonts w:hint="default" w:ascii="Times New Roman" w:hAnsi="Times New Roman" w:eastAsia="宋体" w:cs="Times New Roman"/>
          <w:color w:val="auto"/>
          <w:w w:val="100"/>
          <w:sz w:val="28"/>
          <w:szCs w:val="24"/>
          <w:highlight w:val="none"/>
        </w:rPr>
        <w:fldChar w:fldCharType="end"/>
      </w:r>
      <w:r>
        <w:rPr>
          <w:rFonts w:hint="default" w:ascii="Times New Roman" w:hAnsi="Times New Roman" w:eastAsia="宋体" w:cs="Times New Roman"/>
          <w:color w:val="auto"/>
          <w:w w:val="100"/>
          <w:sz w:val="28"/>
          <w:szCs w:val="24"/>
          <w:highlight w:val="none"/>
        </w:rPr>
        <w:fldChar w:fldCharType="end"/>
      </w:r>
    </w:p>
    <w:p w14:paraId="34BD19F4">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w w:val="100"/>
          <w:sz w:val="28"/>
          <w:szCs w:val="24"/>
          <w:highlight w:val="none"/>
        </w:rPr>
      </w:pP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HYPERLINK \l _Toc22463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snapToGrid w:val="0"/>
          <w:color w:val="auto"/>
          <w:w w:val="100"/>
          <w:sz w:val="28"/>
          <w:szCs w:val="24"/>
          <w:highlight w:val="none"/>
        </w:rPr>
        <w:t>三、区域环境质量现状、环境保护目标及评价标准</w:t>
      </w:r>
      <w:r>
        <w:rPr>
          <w:rFonts w:hint="default" w:ascii="Times New Roman" w:hAnsi="Times New Roman" w:eastAsia="宋体" w:cs="Times New Roman"/>
          <w:color w:val="auto"/>
          <w:w w:val="100"/>
          <w:sz w:val="28"/>
          <w:szCs w:val="24"/>
          <w:highlight w:val="none"/>
        </w:rPr>
        <w:tab/>
      </w: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PAGEREF _Toc22463 \h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color w:val="auto"/>
          <w:w w:val="100"/>
          <w:sz w:val="28"/>
          <w:szCs w:val="24"/>
          <w:highlight w:val="none"/>
        </w:rPr>
        <w:t>17</w:t>
      </w:r>
      <w:r>
        <w:rPr>
          <w:rFonts w:hint="default" w:ascii="Times New Roman" w:hAnsi="Times New Roman" w:eastAsia="宋体" w:cs="Times New Roman"/>
          <w:color w:val="auto"/>
          <w:w w:val="100"/>
          <w:sz w:val="28"/>
          <w:szCs w:val="24"/>
          <w:highlight w:val="none"/>
        </w:rPr>
        <w:fldChar w:fldCharType="end"/>
      </w:r>
      <w:r>
        <w:rPr>
          <w:rFonts w:hint="default" w:ascii="Times New Roman" w:hAnsi="Times New Roman" w:eastAsia="宋体" w:cs="Times New Roman"/>
          <w:color w:val="auto"/>
          <w:w w:val="100"/>
          <w:sz w:val="28"/>
          <w:szCs w:val="24"/>
          <w:highlight w:val="none"/>
        </w:rPr>
        <w:fldChar w:fldCharType="end"/>
      </w:r>
    </w:p>
    <w:p w14:paraId="78F14A9E">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w w:val="100"/>
          <w:sz w:val="28"/>
          <w:szCs w:val="24"/>
          <w:highlight w:val="none"/>
        </w:rPr>
      </w:pP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HYPERLINK \l _Toc18622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snapToGrid w:val="0"/>
          <w:color w:val="auto"/>
          <w:w w:val="100"/>
          <w:sz w:val="28"/>
          <w:szCs w:val="24"/>
          <w:highlight w:val="none"/>
        </w:rPr>
        <w:t>四、主要环境影响和保护措施</w:t>
      </w:r>
      <w:r>
        <w:rPr>
          <w:rFonts w:hint="default" w:ascii="Times New Roman" w:hAnsi="Times New Roman" w:eastAsia="宋体" w:cs="Times New Roman"/>
          <w:color w:val="auto"/>
          <w:w w:val="100"/>
          <w:sz w:val="28"/>
          <w:szCs w:val="24"/>
          <w:highlight w:val="none"/>
        </w:rPr>
        <w:tab/>
      </w: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PAGEREF _Toc18622 \h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color w:val="auto"/>
          <w:w w:val="100"/>
          <w:sz w:val="28"/>
          <w:szCs w:val="24"/>
          <w:highlight w:val="none"/>
        </w:rPr>
        <w:t>22</w:t>
      </w:r>
      <w:r>
        <w:rPr>
          <w:rFonts w:hint="default" w:ascii="Times New Roman" w:hAnsi="Times New Roman" w:eastAsia="宋体" w:cs="Times New Roman"/>
          <w:color w:val="auto"/>
          <w:w w:val="100"/>
          <w:sz w:val="28"/>
          <w:szCs w:val="24"/>
          <w:highlight w:val="none"/>
        </w:rPr>
        <w:fldChar w:fldCharType="end"/>
      </w:r>
      <w:r>
        <w:rPr>
          <w:rFonts w:hint="default" w:ascii="Times New Roman" w:hAnsi="Times New Roman" w:eastAsia="宋体" w:cs="Times New Roman"/>
          <w:color w:val="auto"/>
          <w:w w:val="100"/>
          <w:sz w:val="28"/>
          <w:szCs w:val="24"/>
          <w:highlight w:val="none"/>
        </w:rPr>
        <w:fldChar w:fldCharType="end"/>
      </w:r>
    </w:p>
    <w:p w14:paraId="1AF68188">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w w:val="100"/>
          <w:sz w:val="28"/>
          <w:szCs w:val="24"/>
          <w:highlight w:val="none"/>
        </w:rPr>
      </w:pP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HYPERLINK \l _Toc31536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snapToGrid w:val="0"/>
          <w:color w:val="auto"/>
          <w:w w:val="100"/>
          <w:sz w:val="28"/>
          <w:szCs w:val="24"/>
          <w:highlight w:val="none"/>
        </w:rPr>
        <w:t>五、环境保护措施监督检查清单</w:t>
      </w:r>
      <w:r>
        <w:rPr>
          <w:rFonts w:hint="default" w:ascii="Times New Roman" w:hAnsi="Times New Roman" w:eastAsia="宋体" w:cs="Times New Roman"/>
          <w:color w:val="auto"/>
          <w:w w:val="100"/>
          <w:sz w:val="28"/>
          <w:szCs w:val="24"/>
          <w:highlight w:val="none"/>
        </w:rPr>
        <w:tab/>
      </w: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PAGEREF _Toc31536 \h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color w:val="auto"/>
          <w:w w:val="100"/>
          <w:sz w:val="28"/>
          <w:szCs w:val="24"/>
          <w:highlight w:val="none"/>
        </w:rPr>
        <w:t>35</w:t>
      </w:r>
      <w:r>
        <w:rPr>
          <w:rFonts w:hint="default" w:ascii="Times New Roman" w:hAnsi="Times New Roman" w:eastAsia="宋体" w:cs="Times New Roman"/>
          <w:color w:val="auto"/>
          <w:w w:val="100"/>
          <w:sz w:val="28"/>
          <w:szCs w:val="24"/>
          <w:highlight w:val="none"/>
        </w:rPr>
        <w:fldChar w:fldCharType="end"/>
      </w:r>
      <w:r>
        <w:rPr>
          <w:rFonts w:hint="default" w:ascii="Times New Roman" w:hAnsi="Times New Roman" w:eastAsia="宋体" w:cs="Times New Roman"/>
          <w:color w:val="auto"/>
          <w:w w:val="100"/>
          <w:sz w:val="28"/>
          <w:szCs w:val="24"/>
          <w:highlight w:val="none"/>
        </w:rPr>
        <w:fldChar w:fldCharType="end"/>
      </w:r>
    </w:p>
    <w:p w14:paraId="7FFE81EF">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360" w:lineRule="auto"/>
        <w:textAlignment w:val="auto"/>
        <w:rPr>
          <w:rFonts w:hint="default" w:ascii="Times New Roman" w:hAnsi="Times New Roman" w:eastAsia="宋体" w:cs="Times New Roman"/>
          <w:color w:val="auto"/>
          <w:w w:val="100"/>
          <w:sz w:val="28"/>
          <w:szCs w:val="24"/>
          <w:highlight w:val="none"/>
        </w:rPr>
      </w:pP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HYPERLINK \l _Toc25724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snapToGrid w:val="0"/>
          <w:color w:val="auto"/>
          <w:w w:val="100"/>
          <w:sz w:val="28"/>
          <w:szCs w:val="24"/>
          <w:highlight w:val="none"/>
        </w:rPr>
        <w:t>六、结论</w:t>
      </w:r>
      <w:r>
        <w:rPr>
          <w:rFonts w:hint="default" w:ascii="Times New Roman" w:hAnsi="Times New Roman" w:eastAsia="宋体" w:cs="Times New Roman"/>
          <w:color w:val="auto"/>
          <w:w w:val="100"/>
          <w:sz w:val="28"/>
          <w:szCs w:val="24"/>
          <w:highlight w:val="none"/>
        </w:rPr>
        <w:tab/>
      </w:r>
      <w:r>
        <w:rPr>
          <w:rFonts w:hint="default" w:ascii="Times New Roman" w:hAnsi="Times New Roman" w:eastAsia="宋体" w:cs="Times New Roman"/>
          <w:color w:val="auto"/>
          <w:w w:val="100"/>
          <w:sz w:val="28"/>
          <w:szCs w:val="24"/>
          <w:highlight w:val="none"/>
        </w:rPr>
        <w:fldChar w:fldCharType="begin"/>
      </w:r>
      <w:r>
        <w:rPr>
          <w:rFonts w:hint="default" w:ascii="Times New Roman" w:hAnsi="Times New Roman" w:eastAsia="宋体" w:cs="Times New Roman"/>
          <w:color w:val="auto"/>
          <w:w w:val="100"/>
          <w:sz w:val="28"/>
          <w:szCs w:val="24"/>
          <w:highlight w:val="none"/>
        </w:rPr>
        <w:instrText xml:space="preserve"> PAGEREF _Toc25724 \h </w:instrText>
      </w:r>
      <w:r>
        <w:rPr>
          <w:rFonts w:hint="default" w:ascii="Times New Roman" w:hAnsi="Times New Roman" w:eastAsia="宋体" w:cs="Times New Roman"/>
          <w:color w:val="auto"/>
          <w:w w:val="100"/>
          <w:sz w:val="28"/>
          <w:szCs w:val="24"/>
          <w:highlight w:val="none"/>
        </w:rPr>
        <w:fldChar w:fldCharType="separate"/>
      </w:r>
      <w:r>
        <w:rPr>
          <w:rFonts w:hint="default" w:ascii="Times New Roman" w:hAnsi="Times New Roman" w:eastAsia="宋体" w:cs="Times New Roman"/>
          <w:color w:val="auto"/>
          <w:w w:val="100"/>
          <w:sz w:val="28"/>
          <w:szCs w:val="24"/>
          <w:highlight w:val="none"/>
        </w:rPr>
        <w:t>36</w:t>
      </w:r>
      <w:r>
        <w:rPr>
          <w:rFonts w:hint="default" w:ascii="Times New Roman" w:hAnsi="Times New Roman" w:eastAsia="宋体" w:cs="Times New Roman"/>
          <w:color w:val="auto"/>
          <w:w w:val="100"/>
          <w:sz w:val="28"/>
          <w:szCs w:val="24"/>
          <w:highlight w:val="none"/>
        </w:rPr>
        <w:fldChar w:fldCharType="end"/>
      </w:r>
      <w:r>
        <w:rPr>
          <w:rFonts w:hint="default" w:ascii="Times New Roman" w:hAnsi="Times New Roman" w:eastAsia="宋体" w:cs="Times New Roman"/>
          <w:color w:val="auto"/>
          <w:w w:val="100"/>
          <w:sz w:val="28"/>
          <w:szCs w:val="24"/>
          <w:highlight w:val="none"/>
        </w:rPr>
        <w:fldChar w:fldCharType="end"/>
      </w:r>
    </w:p>
    <w:p w14:paraId="35D718B5">
      <w:pPr>
        <w:pStyle w:val="28"/>
        <w:tabs>
          <w:tab w:val="right" w:leader="dot" w:pos="8844"/>
          <w:tab w:val="clear" w:pos="9459"/>
        </w:tabs>
        <w:spacing w:line="360" w:lineRule="auto"/>
        <w:jc w:val="center"/>
        <w:rPr>
          <w:rFonts w:hint="default" w:ascii="Times New Roman" w:hAnsi="Times New Roman" w:eastAsia="宋体" w:cs="Times New Roman"/>
          <w:color w:val="auto"/>
          <w:w w:val="100"/>
          <w:sz w:val="28"/>
          <w:highlight w:val="none"/>
        </w:rPr>
      </w:pPr>
    </w:p>
    <w:p w14:paraId="07A75578">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default" w:ascii="Times New Roman" w:hAnsi="Times New Roman" w:eastAsia="宋体" w:cs="Times New Roman"/>
          <w:color w:val="auto"/>
          <w:w w:val="100"/>
          <w:sz w:val="28"/>
          <w:highlight w:val="none"/>
        </w:rPr>
        <w:fldChar w:fldCharType="end"/>
      </w:r>
      <w:r>
        <w:rPr>
          <w:rFonts w:hint="eastAsia" w:ascii="Times New Roman" w:hAnsi="Times New Roman" w:eastAsia="宋体" w:cs="宋体"/>
          <w:color w:val="auto"/>
          <w:w w:val="100"/>
          <w:sz w:val="28"/>
          <w:szCs w:val="28"/>
          <w:highlight w:val="none"/>
        </w:rPr>
        <w:t>附表</w:t>
      </w:r>
    </w:p>
    <w:p w14:paraId="39797F70">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建设项目污染物排放量汇总表</w:t>
      </w:r>
    </w:p>
    <w:p w14:paraId="3F5F1B2F">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附图</w:t>
      </w:r>
    </w:p>
    <w:p w14:paraId="1F14760D">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附图1 地理位置图</w:t>
      </w:r>
    </w:p>
    <w:p w14:paraId="56253150">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 xml:space="preserve">附图2 </w:t>
      </w:r>
      <w:r>
        <w:rPr>
          <w:rFonts w:hint="eastAsia" w:ascii="Times New Roman" w:hAnsi="Times New Roman" w:eastAsia="宋体" w:cs="宋体"/>
          <w:color w:val="auto"/>
          <w:w w:val="100"/>
          <w:sz w:val="28"/>
          <w:szCs w:val="28"/>
          <w:highlight w:val="none"/>
          <w:lang w:val="en-US" w:eastAsia="zh-CN"/>
        </w:rPr>
        <w:t>敏感</w:t>
      </w:r>
      <w:r>
        <w:rPr>
          <w:rFonts w:hint="eastAsia" w:ascii="Times New Roman" w:hAnsi="Times New Roman" w:eastAsia="宋体" w:cs="宋体"/>
          <w:color w:val="auto"/>
          <w:w w:val="100"/>
          <w:sz w:val="28"/>
          <w:szCs w:val="28"/>
          <w:highlight w:val="none"/>
        </w:rPr>
        <w:t>目标分布图</w:t>
      </w:r>
    </w:p>
    <w:p w14:paraId="464C3BA5">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附图3 厂区平面布置图</w:t>
      </w:r>
    </w:p>
    <w:p w14:paraId="24FE2BB3">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附图4周边环境现场照片</w:t>
      </w:r>
    </w:p>
    <w:p w14:paraId="1A9F45F9">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w:t>
      </w:r>
    </w:p>
    <w:p w14:paraId="6BA5352D">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附件1 营业执照</w:t>
      </w:r>
    </w:p>
    <w:p w14:paraId="5FA106EC">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附件2 土地手续</w:t>
      </w:r>
    </w:p>
    <w:p w14:paraId="5E3B5753">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附件3 生物质燃料成分报告</w:t>
      </w:r>
    </w:p>
    <w:p w14:paraId="59B6005F">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附件4 煤质分析报告</w:t>
      </w:r>
    </w:p>
    <w:p w14:paraId="4DF7F403">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附件5 总量计算说明</w:t>
      </w:r>
    </w:p>
    <w:p w14:paraId="5BAA7E77">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附件6 现状检测报告</w:t>
      </w:r>
    </w:p>
    <w:p w14:paraId="2003FC14">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附件7 生态环境分区管控分析报告</w:t>
      </w:r>
    </w:p>
    <w:p w14:paraId="7CEF0F83">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附件8 排污许可登记回执</w:t>
      </w:r>
    </w:p>
    <w:p w14:paraId="0458BC7D">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宋体" w:cs="宋体"/>
          <w:color w:val="auto"/>
          <w:w w:val="100"/>
          <w:sz w:val="28"/>
          <w:szCs w:val="28"/>
          <w:highlight w:val="none"/>
        </w:rPr>
      </w:pPr>
      <w:r>
        <w:rPr>
          <w:rFonts w:hint="eastAsia" w:ascii="Times New Roman" w:hAnsi="Times New Roman" w:eastAsia="宋体" w:cs="宋体"/>
          <w:color w:val="auto"/>
          <w:w w:val="100"/>
          <w:sz w:val="28"/>
          <w:szCs w:val="28"/>
          <w:highlight w:val="none"/>
        </w:rPr>
        <w:t>附件9 类比锅炉废水监测报告（节选）</w:t>
      </w:r>
    </w:p>
    <w:p w14:paraId="7D289E02">
      <w:pPr>
        <w:pStyle w:val="28"/>
        <w:keepNext w:val="0"/>
        <w:keepLines w:val="0"/>
        <w:pageBreakBefore w:val="0"/>
        <w:widowControl w:val="0"/>
        <w:tabs>
          <w:tab w:val="right" w:leader="dot" w:pos="8844"/>
          <w:tab w:val="clear" w:pos="9459"/>
        </w:tabs>
        <w:kinsoku/>
        <w:wordWrap/>
        <w:overflowPunct/>
        <w:topLinePunct w:val="0"/>
        <w:autoSpaceDE/>
        <w:autoSpaceDN/>
        <w:bidi w:val="0"/>
        <w:adjustRightInd w:val="0"/>
        <w:snapToGrid w:val="0"/>
        <w:spacing w:line="240" w:lineRule="auto"/>
        <w:jc w:val="left"/>
        <w:textAlignment w:val="auto"/>
        <w:rPr>
          <w:rFonts w:hint="eastAsia" w:ascii="Times New Roman" w:hAnsi="Times New Roman" w:cs="宋体"/>
          <w:color w:val="auto"/>
          <w:w w:val="100"/>
          <w:sz w:val="28"/>
          <w:szCs w:val="28"/>
          <w:highlight w:val="none"/>
          <w:lang w:val="en-US" w:eastAsia="zh-CN"/>
        </w:rPr>
      </w:pPr>
      <w:r>
        <w:rPr>
          <w:rFonts w:hint="eastAsia" w:ascii="Times New Roman" w:hAnsi="Times New Roman" w:eastAsia="宋体" w:cs="宋体"/>
          <w:color w:val="auto"/>
          <w:w w:val="100"/>
          <w:sz w:val="28"/>
          <w:szCs w:val="28"/>
          <w:highlight w:val="none"/>
        </w:rPr>
        <w:t xml:space="preserve">附件10 </w:t>
      </w:r>
      <w:r>
        <w:rPr>
          <w:rFonts w:hint="eastAsia" w:ascii="Times New Roman" w:hAnsi="Times New Roman" w:cs="宋体"/>
          <w:color w:val="auto"/>
          <w:w w:val="100"/>
          <w:sz w:val="28"/>
          <w:szCs w:val="28"/>
          <w:highlight w:val="none"/>
          <w:lang w:val="en-US" w:eastAsia="zh-CN"/>
        </w:rPr>
        <w:t>原有验收批复</w:t>
      </w:r>
    </w:p>
    <w:p w14:paraId="59A066C8">
      <w:pPr>
        <w:rPr>
          <w:rFonts w:hint="default"/>
          <w:lang w:val="en-US" w:eastAsia="zh-CN"/>
        </w:rPr>
      </w:pPr>
      <w:r>
        <w:rPr>
          <w:rFonts w:hint="eastAsia" w:ascii="Times New Roman" w:hAnsi="Times New Roman" w:cs="宋体"/>
          <w:color w:val="auto"/>
          <w:w w:val="100"/>
          <w:sz w:val="28"/>
          <w:szCs w:val="28"/>
          <w:highlight w:val="none"/>
          <w:lang w:val="en-US" w:eastAsia="zh-CN"/>
        </w:rPr>
        <w:t>附件11 取水证</w:t>
      </w:r>
    </w:p>
    <w:p w14:paraId="5F66A68D">
      <w:pPr>
        <w:pStyle w:val="36"/>
        <w:keepLines w:val="0"/>
        <w:pageBreakBefore w:val="0"/>
        <w:topLinePunct w:val="0"/>
        <w:bidi w:val="0"/>
        <w:spacing w:before="0" w:beforeAutospacing="0" w:after="0" w:afterAutospacing="0" w:line="360" w:lineRule="auto"/>
        <w:ind w:right="0" w:rightChars="0"/>
        <w:jc w:val="center"/>
        <w:outlineLvl w:val="0"/>
        <w:rPr>
          <w:rFonts w:hint="default" w:ascii="Times New Roman" w:hAnsi="Times New Roman" w:eastAsia="宋体" w:cs="Times New Roman"/>
          <w:color w:val="auto"/>
          <w:highlight w:val="none"/>
        </w:rPr>
        <w:sectPr>
          <w:footerReference r:id="rId5" w:type="default"/>
          <w:pgSz w:w="11906" w:h="16838"/>
          <w:pgMar w:top="1701" w:right="1531" w:bottom="1701" w:left="1531" w:header="851" w:footer="851" w:gutter="0"/>
          <w:pgBorders>
            <w:top w:val="none" w:sz="0" w:space="0"/>
            <w:left w:val="none" w:sz="0" w:space="0"/>
            <w:bottom w:val="none" w:sz="0" w:space="0"/>
            <w:right w:val="none" w:sz="0" w:space="0"/>
          </w:pgBorders>
          <w:pgNumType w:start="1"/>
          <w:cols w:space="720" w:num="1"/>
          <w:docGrid w:linePitch="312" w:charSpace="0"/>
        </w:sectPr>
      </w:pPr>
    </w:p>
    <w:p w14:paraId="1E20F2C2">
      <w:pPr>
        <w:pStyle w:val="36"/>
        <w:numPr>
          <w:ilvl w:val="0"/>
          <w:numId w:val="4"/>
        </w:numPr>
        <w:jc w:val="center"/>
        <w:outlineLvl w:val="0"/>
        <w:rPr>
          <w:rFonts w:hint="eastAsia" w:ascii="黑体" w:hAnsi="黑体" w:eastAsia="黑体" w:cs="黑体"/>
          <w:snapToGrid w:val="0"/>
          <w:color w:val="auto"/>
          <w:sz w:val="30"/>
          <w:szCs w:val="30"/>
          <w:highlight w:val="none"/>
        </w:rPr>
      </w:pPr>
      <w:bookmarkStart w:id="8" w:name="_Toc28301"/>
      <w:bookmarkStart w:id="9" w:name="_Toc12558"/>
      <w:bookmarkStart w:id="10" w:name="_Toc16545"/>
      <w:bookmarkStart w:id="11" w:name="_Toc82778250"/>
      <w:r>
        <w:rPr>
          <w:rFonts w:hint="eastAsia" w:ascii="黑体" w:hAnsi="黑体" w:eastAsia="黑体" w:cs="黑体"/>
          <w:snapToGrid w:val="0"/>
          <w:color w:val="auto"/>
          <w:sz w:val="30"/>
          <w:szCs w:val="30"/>
          <w:highlight w:val="none"/>
        </w:rPr>
        <w:t>建设项目基本情况</w:t>
      </w:r>
      <w:bookmarkEnd w:id="8"/>
      <w:bookmarkEnd w:id="9"/>
      <w:bookmarkEnd w:id="10"/>
      <w:bookmarkEnd w:id="11"/>
    </w:p>
    <w:tbl>
      <w:tblPr>
        <w:tblStyle w:val="4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024"/>
        <w:gridCol w:w="2923"/>
        <w:gridCol w:w="1775"/>
        <w:gridCol w:w="3098"/>
      </w:tblGrid>
      <w:tr w14:paraId="5A742F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3" w:hRule="atLeast"/>
          <w:jc w:val="center"/>
        </w:trPr>
        <w:tc>
          <w:tcPr>
            <w:tcW w:w="1024" w:type="dxa"/>
            <w:noWrap w:val="0"/>
            <w:tcMar>
              <w:top w:w="16" w:type="dxa"/>
              <w:left w:w="16" w:type="dxa"/>
              <w:right w:w="16" w:type="dxa"/>
            </w:tcMar>
            <w:vAlign w:val="center"/>
          </w:tcPr>
          <w:p w14:paraId="07E28CDC">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建设项目名称</w:t>
            </w:r>
          </w:p>
        </w:tc>
        <w:tc>
          <w:tcPr>
            <w:tcW w:w="7796" w:type="dxa"/>
            <w:gridSpan w:val="3"/>
            <w:noWrap w:val="0"/>
            <w:vAlign w:val="center"/>
          </w:tcPr>
          <w:p w14:paraId="3A2DEAC7">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eastAsia" w:ascii="Times New Roman" w:hAnsi="Times New Roman" w:eastAsia="宋体" w:cstheme="minorEastAsia"/>
                <w:color w:val="auto"/>
                <w:sz w:val="21"/>
                <w:szCs w:val="24"/>
                <w:u w:val="none"/>
              </w:rPr>
              <w:t>铁力市红博农资销售有限责任公司</w:t>
            </w:r>
            <w:r>
              <w:rPr>
                <w:rFonts w:hint="eastAsia" w:ascii="Times New Roman" w:hAnsi="Times New Roman" w:eastAsia="宋体" w:cstheme="minorEastAsia"/>
                <w:color w:val="auto"/>
                <w:sz w:val="21"/>
                <w:szCs w:val="24"/>
                <w:u w:val="none"/>
                <w:lang w:val="en-US" w:eastAsia="zh-CN"/>
              </w:rPr>
              <w:t>生物质锅炉建设项目</w:t>
            </w:r>
          </w:p>
        </w:tc>
      </w:tr>
      <w:tr w14:paraId="57C61E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95" w:hRule="atLeast"/>
          <w:jc w:val="center"/>
        </w:trPr>
        <w:tc>
          <w:tcPr>
            <w:tcW w:w="1024" w:type="dxa"/>
            <w:noWrap w:val="0"/>
            <w:tcMar>
              <w:top w:w="16" w:type="dxa"/>
              <w:left w:w="16" w:type="dxa"/>
              <w:right w:w="16" w:type="dxa"/>
            </w:tcMar>
            <w:vAlign w:val="center"/>
          </w:tcPr>
          <w:p w14:paraId="7C466CA3">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项目代码</w:t>
            </w:r>
          </w:p>
        </w:tc>
        <w:tc>
          <w:tcPr>
            <w:tcW w:w="7796" w:type="dxa"/>
            <w:gridSpan w:val="3"/>
            <w:noWrap w:val="0"/>
            <w:vAlign w:val="center"/>
          </w:tcPr>
          <w:p w14:paraId="4C3F193A">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val="en-US" w:eastAsia="zh-CN"/>
              </w:rPr>
              <w:t>无</w:t>
            </w:r>
          </w:p>
        </w:tc>
      </w:tr>
      <w:tr w14:paraId="7B721C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024" w:type="dxa"/>
            <w:noWrap w:val="0"/>
            <w:tcMar>
              <w:top w:w="16" w:type="dxa"/>
              <w:left w:w="16" w:type="dxa"/>
              <w:right w:w="16" w:type="dxa"/>
            </w:tcMar>
            <w:vAlign w:val="center"/>
          </w:tcPr>
          <w:p w14:paraId="6158EDE6">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建设单位联系人</w:t>
            </w:r>
          </w:p>
        </w:tc>
        <w:tc>
          <w:tcPr>
            <w:tcW w:w="2923" w:type="dxa"/>
            <w:noWrap w:val="0"/>
            <w:vAlign w:val="center"/>
          </w:tcPr>
          <w:p w14:paraId="2BA04AB2">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val="en-US" w:eastAsia="zh-CN"/>
              </w:rPr>
              <w:t>陈向群</w:t>
            </w:r>
          </w:p>
        </w:tc>
        <w:tc>
          <w:tcPr>
            <w:tcW w:w="1775" w:type="dxa"/>
            <w:noWrap w:val="0"/>
            <w:vAlign w:val="center"/>
          </w:tcPr>
          <w:p w14:paraId="3DC885E4">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val="en-US" w:eastAsia="zh-CN"/>
              </w:rPr>
              <w:t>联系方式</w:t>
            </w:r>
          </w:p>
        </w:tc>
        <w:tc>
          <w:tcPr>
            <w:tcW w:w="3098" w:type="dxa"/>
            <w:noWrap w:val="0"/>
            <w:vAlign w:val="center"/>
          </w:tcPr>
          <w:p w14:paraId="7FD9EAA2">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val="en-US" w:eastAsia="zh-CN"/>
              </w:rPr>
              <w:t>13704852166</w:t>
            </w:r>
          </w:p>
        </w:tc>
      </w:tr>
      <w:tr w14:paraId="6823D3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4" w:hRule="atLeast"/>
          <w:jc w:val="center"/>
        </w:trPr>
        <w:tc>
          <w:tcPr>
            <w:tcW w:w="1024" w:type="dxa"/>
            <w:noWrap w:val="0"/>
            <w:tcMar>
              <w:top w:w="16" w:type="dxa"/>
              <w:left w:w="16" w:type="dxa"/>
              <w:right w:w="16" w:type="dxa"/>
            </w:tcMar>
            <w:vAlign w:val="center"/>
          </w:tcPr>
          <w:p w14:paraId="1B534D82">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建设地点</w:t>
            </w:r>
          </w:p>
        </w:tc>
        <w:tc>
          <w:tcPr>
            <w:tcW w:w="7796" w:type="dxa"/>
            <w:gridSpan w:val="3"/>
            <w:noWrap w:val="0"/>
            <w:vAlign w:val="center"/>
          </w:tcPr>
          <w:p w14:paraId="32ADBBC9">
            <w:pPr>
              <w:adjustRightInd w:val="0"/>
              <w:snapToGrid w:val="0"/>
              <w:jc w:val="center"/>
              <w:rPr>
                <w:rFonts w:hint="eastAsia" w:ascii="Times New Roman" w:hAnsi="Times New Roman" w:eastAsia="宋体" w:cstheme="minorEastAsia"/>
                <w:color w:val="auto"/>
                <w:sz w:val="21"/>
                <w:szCs w:val="24"/>
                <w:u w:val="none"/>
              </w:rPr>
            </w:pPr>
            <w:r>
              <w:rPr>
                <w:rFonts w:hint="eastAsia" w:ascii="Times New Roman" w:hAnsi="Times New Roman" w:eastAsia="宋体" w:cstheme="minorEastAsia"/>
                <w:color w:val="auto"/>
                <w:sz w:val="21"/>
                <w:szCs w:val="24"/>
                <w:u w:val="none"/>
              </w:rPr>
              <w:t>黑龙江省伊春市铁力市王杨乡西河砖厂西侧哈伊路南，</w:t>
            </w:r>
          </w:p>
          <w:p w14:paraId="12600106">
            <w:pPr>
              <w:adjustRightInd w:val="0"/>
              <w:snapToGrid w:val="0"/>
              <w:jc w:val="center"/>
              <w:rPr>
                <w:rFonts w:hint="default" w:ascii="Times New Roman" w:hAnsi="Times New Roman" w:eastAsia="宋体" w:cstheme="minorEastAsia"/>
                <w:color w:val="auto"/>
                <w:sz w:val="21"/>
                <w:szCs w:val="24"/>
                <w:u w:val="none"/>
                <w:lang w:val="en-US" w:eastAsia="zh-CN"/>
              </w:rPr>
            </w:pPr>
            <w:r>
              <w:rPr>
                <w:rFonts w:hint="eastAsia" w:ascii="Times New Roman" w:hAnsi="Times New Roman" w:eastAsia="宋体" w:cstheme="minorEastAsia"/>
                <w:color w:val="auto"/>
                <w:sz w:val="21"/>
                <w:szCs w:val="24"/>
                <w:u w:val="none"/>
              </w:rPr>
              <w:t>铁力市红博农资销售有限责任公司院内</w:t>
            </w:r>
          </w:p>
        </w:tc>
      </w:tr>
      <w:tr w14:paraId="38DBA9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07" w:hRule="atLeast"/>
          <w:jc w:val="center"/>
        </w:trPr>
        <w:tc>
          <w:tcPr>
            <w:tcW w:w="1024" w:type="dxa"/>
            <w:noWrap w:val="0"/>
            <w:tcMar>
              <w:top w:w="16" w:type="dxa"/>
              <w:left w:w="16" w:type="dxa"/>
              <w:right w:w="16" w:type="dxa"/>
            </w:tcMar>
            <w:vAlign w:val="center"/>
          </w:tcPr>
          <w:p w14:paraId="7E5C7C93">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地理坐标</w:t>
            </w:r>
          </w:p>
        </w:tc>
        <w:tc>
          <w:tcPr>
            <w:tcW w:w="7796" w:type="dxa"/>
            <w:gridSpan w:val="3"/>
            <w:noWrap w:val="0"/>
            <w:vAlign w:val="center"/>
          </w:tcPr>
          <w:p w14:paraId="48E166B7">
            <w:pPr>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u w:val="single"/>
              </w:rPr>
              <w:t>12</w:t>
            </w:r>
            <w:r>
              <w:rPr>
                <w:rFonts w:hint="default" w:ascii="Times New Roman" w:hAnsi="Times New Roman" w:eastAsia="宋体" w:cs="Times New Roman"/>
                <w:color w:val="auto"/>
                <w:sz w:val="21"/>
                <w:szCs w:val="24"/>
                <w:highlight w:val="none"/>
                <w:u w:val="single"/>
                <w:lang w:val="en-US" w:eastAsia="zh-CN"/>
              </w:rPr>
              <w:t>7</w:t>
            </w:r>
            <w:r>
              <w:rPr>
                <w:rFonts w:hint="default" w:ascii="Times New Roman" w:hAnsi="Times New Roman" w:eastAsia="宋体" w:cs="Times New Roman"/>
                <w:color w:val="auto"/>
                <w:sz w:val="21"/>
                <w:szCs w:val="24"/>
                <w:highlight w:val="none"/>
              </w:rPr>
              <w:t>度</w:t>
            </w:r>
            <w:r>
              <w:rPr>
                <w:rFonts w:hint="eastAsia" w:ascii="Times New Roman" w:hAnsi="Times New Roman" w:eastAsia="宋体" w:cs="Times New Roman"/>
                <w:color w:val="auto"/>
                <w:sz w:val="21"/>
                <w:szCs w:val="24"/>
                <w:highlight w:val="none"/>
                <w:u w:val="single"/>
                <w:lang w:val="en-US" w:eastAsia="zh-CN"/>
              </w:rPr>
              <w:t>59</w:t>
            </w:r>
            <w:r>
              <w:rPr>
                <w:rFonts w:hint="default" w:ascii="Times New Roman" w:hAnsi="Times New Roman" w:eastAsia="宋体" w:cs="Times New Roman"/>
                <w:color w:val="auto"/>
                <w:sz w:val="21"/>
                <w:szCs w:val="24"/>
                <w:highlight w:val="none"/>
              </w:rPr>
              <w:t>分</w:t>
            </w:r>
            <w:r>
              <w:rPr>
                <w:rFonts w:hint="eastAsia" w:ascii="Times New Roman" w:hAnsi="Times New Roman" w:eastAsia="宋体" w:cs="Times New Roman"/>
                <w:color w:val="auto"/>
                <w:sz w:val="21"/>
                <w:szCs w:val="24"/>
                <w:highlight w:val="none"/>
                <w:u w:val="single"/>
                <w:lang w:val="en-US" w:eastAsia="zh-CN"/>
              </w:rPr>
              <w:t>1</w:t>
            </w:r>
            <w:r>
              <w:rPr>
                <w:rFonts w:hint="eastAsia" w:cs="Times New Roman"/>
                <w:color w:val="auto"/>
                <w:sz w:val="21"/>
                <w:szCs w:val="24"/>
                <w:highlight w:val="none"/>
                <w:u w:val="single"/>
                <w:lang w:val="en-US" w:eastAsia="zh-CN"/>
              </w:rPr>
              <w:t>1</w:t>
            </w:r>
            <w:r>
              <w:rPr>
                <w:rFonts w:hint="eastAsia" w:ascii="Times New Roman" w:hAnsi="Times New Roman" w:eastAsia="宋体" w:cs="Times New Roman"/>
                <w:color w:val="auto"/>
                <w:sz w:val="21"/>
                <w:szCs w:val="24"/>
                <w:highlight w:val="none"/>
                <w:u w:val="single"/>
                <w:lang w:val="en-US" w:eastAsia="zh-CN"/>
              </w:rPr>
              <w:t>.</w:t>
            </w:r>
            <w:r>
              <w:rPr>
                <w:rFonts w:hint="eastAsia" w:cs="Times New Roman"/>
                <w:color w:val="auto"/>
                <w:sz w:val="21"/>
                <w:szCs w:val="24"/>
                <w:highlight w:val="none"/>
                <w:u w:val="single"/>
                <w:lang w:val="en-US" w:eastAsia="zh-CN"/>
              </w:rPr>
              <w:t>637</w:t>
            </w:r>
            <w:r>
              <w:rPr>
                <w:rFonts w:hint="default" w:ascii="Times New Roman" w:hAnsi="Times New Roman" w:eastAsia="宋体" w:cs="Times New Roman"/>
                <w:color w:val="auto"/>
                <w:sz w:val="21"/>
                <w:szCs w:val="24"/>
                <w:highlight w:val="none"/>
              </w:rPr>
              <w:t>秒，</w:t>
            </w:r>
            <w:r>
              <w:rPr>
                <w:rFonts w:hint="default" w:ascii="Times New Roman" w:hAnsi="Times New Roman" w:eastAsia="宋体" w:cs="Times New Roman"/>
                <w:color w:val="auto"/>
                <w:sz w:val="21"/>
                <w:szCs w:val="24"/>
                <w:highlight w:val="none"/>
                <w:u w:val="single"/>
              </w:rPr>
              <w:t>4</w:t>
            </w:r>
            <w:r>
              <w:rPr>
                <w:rFonts w:hint="eastAsia" w:ascii="Times New Roman" w:hAnsi="Times New Roman" w:eastAsia="宋体" w:cs="Times New Roman"/>
                <w:color w:val="auto"/>
                <w:sz w:val="21"/>
                <w:szCs w:val="24"/>
                <w:highlight w:val="none"/>
                <w:u w:val="single"/>
                <w:lang w:val="en-US" w:eastAsia="zh-CN"/>
              </w:rPr>
              <w:t>6</w:t>
            </w:r>
            <w:r>
              <w:rPr>
                <w:rFonts w:hint="default" w:ascii="Times New Roman" w:hAnsi="Times New Roman" w:eastAsia="宋体" w:cs="Times New Roman"/>
                <w:color w:val="auto"/>
                <w:sz w:val="21"/>
                <w:szCs w:val="24"/>
                <w:highlight w:val="none"/>
              </w:rPr>
              <w:t>度</w:t>
            </w:r>
            <w:r>
              <w:rPr>
                <w:rFonts w:hint="eastAsia" w:ascii="Times New Roman" w:hAnsi="Times New Roman" w:eastAsia="宋体" w:cs="Times New Roman"/>
                <w:color w:val="auto"/>
                <w:sz w:val="21"/>
                <w:szCs w:val="24"/>
                <w:highlight w:val="none"/>
                <w:u w:val="single"/>
                <w:lang w:val="en-US" w:eastAsia="zh-CN"/>
              </w:rPr>
              <w:t>58</w:t>
            </w:r>
            <w:r>
              <w:rPr>
                <w:rFonts w:hint="default" w:ascii="Times New Roman" w:hAnsi="Times New Roman" w:eastAsia="宋体" w:cs="Times New Roman"/>
                <w:color w:val="auto"/>
                <w:sz w:val="21"/>
                <w:szCs w:val="24"/>
                <w:highlight w:val="none"/>
              </w:rPr>
              <w:t>分</w:t>
            </w:r>
            <w:r>
              <w:rPr>
                <w:rFonts w:hint="eastAsia" w:ascii="Times New Roman" w:hAnsi="Times New Roman" w:eastAsia="宋体" w:cs="Times New Roman"/>
                <w:color w:val="auto"/>
                <w:sz w:val="21"/>
                <w:szCs w:val="24"/>
                <w:highlight w:val="none"/>
                <w:u w:val="single"/>
                <w:lang w:val="en-US" w:eastAsia="zh-CN"/>
              </w:rPr>
              <w:t>26.3</w:t>
            </w:r>
            <w:r>
              <w:rPr>
                <w:rFonts w:hint="eastAsia" w:cs="Times New Roman"/>
                <w:color w:val="auto"/>
                <w:sz w:val="21"/>
                <w:szCs w:val="24"/>
                <w:highlight w:val="none"/>
                <w:u w:val="single"/>
                <w:lang w:val="en-US" w:eastAsia="zh-CN"/>
              </w:rPr>
              <w:t>83</w:t>
            </w:r>
            <w:r>
              <w:rPr>
                <w:rFonts w:hint="default" w:ascii="Times New Roman" w:hAnsi="Times New Roman" w:eastAsia="宋体" w:cs="Times New Roman"/>
                <w:color w:val="auto"/>
                <w:sz w:val="21"/>
                <w:szCs w:val="24"/>
                <w:highlight w:val="none"/>
              </w:rPr>
              <w:t>秒）</w:t>
            </w:r>
          </w:p>
        </w:tc>
      </w:tr>
      <w:tr w14:paraId="2092DA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49" w:hRule="atLeast"/>
          <w:jc w:val="center"/>
        </w:trPr>
        <w:tc>
          <w:tcPr>
            <w:tcW w:w="1024" w:type="dxa"/>
            <w:noWrap w:val="0"/>
            <w:tcMar>
              <w:top w:w="16" w:type="dxa"/>
              <w:left w:w="16" w:type="dxa"/>
              <w:right w:w="16" w:type="dxa"/>
            </w:tcMar>
            <w:vAlign w:val="center"/>
          </w:tcPr>
          <w:p w14:paraId="3B898FB5">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国民经济</w:t>
            </w:r>
          </w:p>
          <w:p w14:paraId="780B0364">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行业类别</w:t>
            </w:r>
          </w:p>
        </w:tc>
        <w:tc>
          <w:tcPr>
            <w:tcW w:w="2923" w:type="dxa"/>
            <w:noWrap w:val="0"/>
            <w:vAlign w:val="center"/>
          </w:tcPr>
          <w:p w14:paraId="3A2594D8">
            <w:pPr>
              <w:pStyle w:val="112"/>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highlight w:val="none"/>
              </w:rPr>
              <w:t>D</w:t>
            </w:r>
            <w:r>
              <w:rPr>
                <w:rFonts w:hint="default" w:ascii="Times New Roman" w:hAnsi="Times New Roman" w:eastAsia="宋体" w:cs="Times New Roman"/>
                <w:color w:val="auto"/>
                <w:sz w:val="21"/>
                <w:szCs w:val="24"/>
                <w:highlight w:val="none"/>
                <w:lang w:val="en-US" w:eastAsia="zh-CN"/>
              </w:rPr>
              <w:t>4430热力生产和供应</w:t>
            </w:r>
          </w:p>
        </w:tc>
        <w:tc>
          <w:tcPr>
            <w:tcW w:w="1775" w:type="dxa"/>
            <w:noWrap w:val="0"/>
            <w:vAlign w:val="center"/>
          </w:tcPr>
          <w:p w14:paraId="6336BA9F">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建设项目</w:t>
            </w:r>
          </w:p>
          <w:p w14:paraId="2C763611">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行业类别</w:t>
            </w:r>
          </w:p>
        </w:tc>
        <w:tc>
          <w:tcPr>
            <w:tcW w:w="3098" w:type="dxa"/>
            <w:noWrap w:val="0"/>
            <w:vAlign w:val="center"/>
          </w:tcPr>
          <w:p w14:paraId="52E7D7EC">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highlight w:val="none"/>
                <w:lang w:val="en-US" w:eastAsia="zh-CN"/>
              </w:rPr>
              <w:t>四十一、电力、热力生产和供应业</w:t>
            </w:r>
            <w:r>
              <w:rPr>
                <w:rFonts w:hint="default" w:ascii="Times New Roman" w:hAnsi="Times New Roman" w:eastAsia="宋体" w:cs="Times New Roman"/>
                <w:color w:val="auto"/>
                <w:sz w:val="21"/>
                <w:highlight w:val="none"/>
              </w:rPr>
              <w:t>91、热力生产和供应工程（包括建设单位自建自用的供热工程）</w:t>
            </w:r>
          </w:p>
        </w:tc>
      </w:tr>
      <w:tr w14:paraId="38CB42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60" w:hRule="atLeast"/>
          <w:jc w:val="center"/>
        </w:trPr>
        <w:tc>
          <w:tcPr>
            <w:tcW w:w="1024" w:type="dxa"/>
            <w:noWrap w:val="0"/>
            <w:tcMar>
              <w:top w:w="16" w:type="dxa"/>
              <w:left w:w="16" w:type="dxa"/>
              <w:right w:w="16" w:type="dxa"/>
            </w:tcMar>
            <w:vAlign w:val="center"/>
          </w:tcPr>
          <w:p w14:paraId="6C1EB393">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建设性质</w:t>
            </w:r>
          </w:p>
        </w:tc>
        <w:tc>
          <w:tcPr>
            <w:tcW w:w="2923" w:type="dxa"/>
            <w:noWrap w:val="0"/>
            <w:vAlign w:val="center"/>
          </w:tcPr>
          <w:p w14:paraId="73701C3C">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sym w:font="Wingdings" w:char="00A8"/>
            </w:r>
            <w:r>
              <w:rPr>
                <w:rFonts w:hint="default" w:ascii="Times New Roman" w:hAnsi="Times New Roman" w:eastAsia="宋体" w:cs="Times New Roman"/>
                <w:color w:val="auto"/>
                <w:sz w:val="21"/>
                <w:szCs w:val="24"/>
                <w:highlight w:val="none"/>
              </w:rPr>
              <w:t>新建（迁建）</w:t>
            </w:r>
          </w:p>
          <w:p w14:paraId="5E670ED4">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sym w:font="Wingdings" w:char="00FE"/>
            </w:r>
            <w:r>
              <w:rPr>
                <w:rFonts w:hint="default" w:ascii="Times New Roman" w:hAnsi="Times New Roman" w:eastAsia="宋体" w:cs="Times New Roman"/>
                <w:color w:val="auto"/>
                <w:sz w:val="21"/>
                <w:szCs w:val="24"/>
                <w:highlight w:val="none"/>
              </w:rPr>
              <w:t>改建</w:t>
            </w:r>
          </w:p>
          <w:p w14:paraId="7273FD55">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sym w:font="Wingdings" w:char="00A8"/>
            </w:r>
            <w:r>
              <w:rPr>
                <w:rFonts w:hint="default" w:ascii="Times New Roman" w:hAnsi="Times New Roman" w:eastAsia="宋体" w:cs="Times New Roman"/>
                <w:color w:val="auto"/>
                <w:sz w:val="21"/>
                <w:szCs w:val="24"/>
                <w:highlight w:val="none"/>
              </w:rPr>
              <w:t>扩建</w:t>
            </w:r>
          </w:p>
          <w:p w14:paraId="5BFDBF97">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sym w:font="Wingdings" w:char="00A8"/>
            </w:r>
            <w:r>
              <w:rPr>
                <w:rFonts w:hint="default" w:ascii="Times New Roman" w:hAnsi="Times New Roman" w:eastAsia="宋体" w:cs="Times New Roman"/>
                <w:color w:val="auto"/>
                <w:sz w:val="21"/>
                <w:szCs w:val="24"/>
                <w:highlight w:val="none"/>
              </w:rPr>
              <w:t>技术改造</w:t>
            </w:r>
          </w:p>
        </w:tc>
        <w:tc>
          <w:tcPr>
            <w:tcW w:w="1775" w:type="dxa"/>
            <w:noWrap w:val="0"/>
            <w:vAlign w:val="center"/>
          </w:tcPr>
          <w:p w14:paraId="7861946D">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建设项目</w:t>
            </w:r>
          </w:p>
          <w:p w14:paraId="71811AB5">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申报情形</w:t>
            </w:r>
          </w:p>
        </w:tc>
        <w:tc>
          <w:tcPr>
            <w:tcW w:w="3098" w:type="dxa"/>
            <w:noWrap w:val="0"/>
            <w:vAlign w:val="center"/>
          </w:tcPr>
          <w:p w14:paraId="3B57845F">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sym w:font="Wingdings" w:char="F0FE"/>
            </w:r>
            <w:r>
              <w:rPr>
                <w:rFonts w:hint="default" w:ascii="Times New Roman" w:hAnsi="Times New Roman" w:eastAsia="宋体" w:cs="Times New Roman"/>
                <w:color w:val="auto"/>
                <w:sz w:val="21"/>
                <w:szCs w:val="24"/>
                <w:highlight w:val="none"/>
              </w:rPr>
              <w:t>首次申报项目</w:t>
            </w:r>
          </w:p>
          <w:p w14:paraId="3DA17E97">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sym w:font="Wingdings" w:char="00A8"/>
            </w:r>
            <w:r>
              <w:rPr>
                <w:rFonts w:hint="default" w:ascii="Times New Roman" w:hAnsi="Times New Roman" w:eastAsia="宋体" w:cs="Times New Roman"/>
                <w:color w:val="auto"/>
                <w:sz w:val="21"/>
                <w:szCs w:val="24"/>
                <w:highlight w:val="none"/>
              </w:rPr>
              <w:t>不予批准后再次申报项目</w:t>
            </w:r>
          </w:p>
          <w:p w14:paraId="168125BC">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sym w:font="Wingdings" w:char="00A8"/>
            </w:r>
            <w:r>
              <w:rPr>
                <w:rFonts w:hint="default" w:ascii="Times New Roman" w:hAnsi="Times New Roman" w:eastAsia="宋体" w:cs="Times New Roman"/>
                <w:color w:val="auto"/>
                <w:sz w:val="21"/>
                <w:szCs w:val="24"/>
                <w:highlight w:val="none"/>
              </w:rPr>
              <w:t>超五年重新审核项目</w:t>
            </w:r>
          </w:p>
          <w:p w14:paraId="6D5D4E60">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sym w:font="Wingdings" w:char="00A8"/>
            </w:r>
            <w:r>
              <w:rPr>
                <w:rFonts w:hint="default" w:ascii="Times New Roman" w:hAnsi="Times New Roman" w:eastAsia="宋体" w:cs="Times New Roman"/>
                <w:color w:val="auto"/>
                <w:sz w:val="21"/>
                <w:szCs w:val="24"/>
                <w:highlight w:val="none"/>
              </w:rPr>
              <w:t>重大变动重新报批项目</w:t>
            </w:r>
          </w:p>
        </w:tc>
      </w:tr>
      <w:tr w14:paraId="09C890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2" w:hRule="atLeast"/>
          <w:jc w:val="center"/>
        </w:trPr>
        <w:tc>
          <w:tcPr>
            <w:tcW w:w="1024" w:type="dxa"/>
            <w:noWrap w:val="0"/>
            <w:tcMar>
              <w:top w:w="16" w:type="dxa"/>
              <w:left w:w="16" w:type="dxa"/>
              <w:right w:w="16" w:type="dxa"/>
            </w:tcMar>
            <w:vAlign w:val="center"/>
          </w:tcPr>
          <w:p w14:paraId="4AA6760C">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项目审批（核准/</w:t>
            </w:r>
          </w:p>
          <w:p w14:paraId="701BD942">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备案）部门（选填）</w:t>
            </w:r>
          </w:p>
        </w:tc>
        <w:tc>
          <w:tcPr>
            <w:tcW w:w="2923" w:type="dxa"/>
            <w:noWrap w:val="0"/>
            <w:vAlign w:val="center"/>
          </w:tcPr>
          <w:p w14:paraId="60B2473C">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无</w:t>
            </w:r>
          </w:p>
        </w:tc>
        <w:tc>
          <w:tcPr>
            <w:tcW w:w="1775" w:type="dxa"/>
            <w:noWrap w:val="0"/>
            <w:vAlign w:val="center"/>
          </w:tcPr>
          <w:p w14:paraId="6D434588">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项目审批（核准/备案）文号（选填）</w:t>
            </w:r>
          </w:p>
        </w:tc>
        <w:tc>
          <w:tcPr>
            <w:tcW w:w="3098" w:type="dxa"/>
            <w:noWrap w:val="0"/>
            <w:vAlign w:val="center"/>
          </w:tcPr>
          <w:p w14:paraId="1B579412">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无</w:t>
            </w:r>
          </w:p>
        </w:tc>
      </w:tr>
      <w:tr w14:paraId="759C9E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79" w:hRule="atLeast"/>
          <w:jc w:val="center"/>
        </w:trPr>
        <w:tc>
          <w:tcPr>
            <w:tcW w:w="1024" w:type="dxa"/>
            <w:noWrap w:val="0"/>
            <w:tcMar>
              <w:top w:w="16" w:type="dxa"/>
              <w:left w:w="16" w:type="dxa"/>
              <w:right w:w="16" w:type="dxa"/>
            </w:tcMar>
            <w:vAlign w:val="center"/>
          </w:tcPr>
          <w:p w14:paraId="519FCA76">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总投资（万元）</w:t>
            </w:r>
          </w:p>
        </w:tc>
        <w:tc>
          <w:tcPr>
            <w:tcW w:w="2923" w:type="dxa"/>
            <w:noWrap w:val="0"/>
            <w:vAlign w:val="center"/>
          </w:tcPr>
          <w:p w14:paraId="548BF51B">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eastAsia" w:cs="Times New Roman"/>
                <w:color w:val="auto"/>
                <w:sz w:val="21"/>
                <w:szCs w:val="24"/>
                <w:highlight w:val="none"/>
                <w:lang w:val="en-US" w:eastAsia="zh-CN"/>
              </w:rPr>
              <w:t>30</w:t>
            </w:r>
          </w:p>
        </w:tc>
        <w:tc>
          <w:tcPr>
            <w:tcW w:w="1775" w:type="dxa"/>
            <w:noWrap w:val="0"/>
            <w:tcMar>
              <w:top w:w="16" w:type="dxa"/>
              <w:left w:w="16" w:type="dxa"/>
              <w:right w:w="16" w:type="dxa"/>
            </w:tcMar>
            <w:vAlign w:val="center"/>
          </w:tcPr>
          <w:p w14:paraId="3F58555C">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环保投资（万元）</w:t>
            </w:r>
          </w:p>
        </w:tc>
        <w:tc>
          <w:tcPr>
            <w:tcW w:w="3098" w:type="dxa"/>
            <w:noWrap w:val="0"/>
            <w:vAlign w:val="center"/>
          </w:tcPr>
          <w:p w14:paraId="4F9C393D">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eastAsia" w:cs="Times New Roman"/>
                <w:color w:val="auto"/>
                <w:sz w:val="21"/>
                <w:szCs w:val="24"/>
                <w:highlight w:val="none"/>
                <w:lang w:val="en-US" w:eastAsia="zh-CN"/>
              </w:rPr>
              <w:t>7.5</w:t>
            </w:r>
          </w:p>
        </w:tc>
      </w:tr>
      <w:tr w14:paraId="0A49CF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34" w:hRule="atLeast"/>
          <w:jc w:val="center"/>
        </w:trPr>
        <w:tc>
          <w:tcPr>
            <w:tcW w:w="1024" w:type="dxa"/>
            <w:noWrap w:val="0"/>
            <w:tcMar>
              <w:top w:w="16" w:type="dxa"/>
              <w:left w:w="16" w:type="dxa"/>
              <w:right w:w="16" w:type="dxa"/>
            </w:tcMar>
            <w:vAlign w:val="center"/>
          </w:tcPr>
          <w:p w14:paraId="24D209F2">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环保投资占比（%）</w:t>
            </w:r>
          </w:p>
        </w:tc>
        <w:tc>
          <w:tcPr>
            <w:tcW w:w="2923" w:type="dxa"/>
            <w:noWrap w:val="0"/>
            <w:vAlign w:val="center"/>
          </w:tcPr>
          <w:p w14:paraId="72E00946">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eastAsia" w:cs="Times New Roman"/>
                <w:color w:val="auto"/>
                <w:sz w:val="21"/>
                <w:szCs w:val="24"/>
                <w:highlight w:val="none"/>
                <w:lang w:val="en-US" w:eastAsia="zh-CN"/>
              </w:rPr>
              <w:t>25</w:t>
            </w:r>
          </w:p>
        </w:tc>
        <w:tc>
          <w:tcPr>
            <w:tcW w:w="1775" w:type="dxa"/>
            <w:noWrap w:val="0"/>
            <w:tcMar>
              <w:top w:w="16" w:type="dxa"/>
              <w:left w:w="16" w:type="dxa"/>
              <w:right w:w="16" w:type="dxa"/>
            </w:tcMar>
            <w:vAlign w:val="center"/>
          </w:tcPr>
          <w:p w14:paraId="3E2BB102">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施工工期</w:t>
            </w:r>
          </w:p>
        </w:tc>
        <w:tc>
          <w:tcPr>
            <w:tcW w:w="3098" w:type="dxa"/>
            <w:noWrap w:val="0"/>
            <w:vAlign w:val="center"/>
          </w:tcPr>
          <w:p w14:paraId="0D55F9E1">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val="en-US" w:eastAsia="zh-CN"/>
              </w:rPr>
              <w:t>2025年</w:t>
            </w:r>
            <w:r>
              <w:rPr>
                <w:rFonts w:hint="eastAsia" w:cs="Times New Roman"/>
                <w:color w:val="auto"/>
                <w:sz w:val="21"/>
                <w:szCs w:val="24"/>
                <w:highlight w:val="none"/>
                <w:lang w:val="en-US" w:eastAsia="zh-CN"/>
              </w:rPr>
              <w:t>12</w:t>
            </w:r>
            <w:r>
              <w:rPr>
                <w:rFonts w:hint="default" w:ascii="Times New Roman" w:hAnsi="Times New Roman" w:eastAsia="宋体" w:cs="Times New Roman"/>
                <w:color w:val="auto"/>
                <w:sz w:val="21"/>
                <w:szCs w:val="24"/>
                <w:highlight w:val="none"/>
                <w:lang w:val="en-US" w:eastAsia="zh-CN"/>
              </w:rPr>
              <w:t>月-202</w:t>
            </w:r>
            <w:r>
              <w:rPr>
                <w:rFonts w:hint="eastAsia" w:cs="Times New Roman"/>
                <w:color w:val="auto"/>
                <w:sz w:val="21"/>
                <w:szCs w:val="24"/>
                <w:highlight w:val="none"/>
                <w:lang w:val="en-US" w:eastAsia="zh-CN"/>
              </w:rPr>
              <w:t>6</w:t>
            </w:r>
            <w:r>
              <w:rPr>
                <w:rFonts w:hint="default" w:ascii="Times New Roman" w:hAnsi="Times New Roman" w:eastAsia="宋体" w:cs="Times New Roman"/>
                <w:color w:val="auto"/>
                <w:sz w:val="21"/>
                <w:szCs w:val="24"/>
                <w:highlight w:val="none"/>
                <w:lang w:val="en-US" w:eastAsia="zh-CN"/>
              </w:rPr>
              <w:t>年1月</w:t>
            </w:r>
          </w:p>
        </w:tc>
      </w:tr>
      <w:tr w14:paraId="2BECB5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39" w:hRule="atLeast"/>
          <w:jc w:val="center"/>
        </w:trPr>
        <w:tc>
          <w:tcPr>
            <w:tcW w:w="1024" w:type="dxa"/>
            <w:noWrap w:val="0"/>
            <w:tcMar>
              <w:top w:w="16" w:type="dxa"/>
              <w:left w:w="16" w:type="dxa"/>
              <w:right w:w="16" w:type="dxa"/>
            </w:tcMar>
            <w:vAlign w:val="center"/>
          </w:tcPr>
          <w:p w14:paraId="48136714">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是否开工建设</w:t>
            </w:r>
          </w:p>
        </w:tc>
        <w:tc>
          <w:tcPr>
            <w:tcW w:w="2923" w:type="dxa"/>
            <w:noWrap w:val="0"/>
            <w:vAlign w:val="center"/>
          </w:tcPr>
          <w:p w14:paraId="0F250DB6">
            <w:pPr>
              <w:adjustRightInd w:val="0"/>
              <w:snapToGrid w:val="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sym w:font="Wingdings" w:char="00FE"/>
            </w:r>
            <w:r>
              <w:rPr>
                <w:rFonts w:hint="default" w:ascii="Times New Roman" w:hAnsi="Times New Roman" w:eastAsia="宋体" w:cs="Times New Roman"/>
                <w:color w:val="auto"/>
                <w:sz w:val="21"/>
                <w:szCs w:val="24"/>
                <w:highlight w:val="none"/>
              </w:rPr>
              <w:t>否</w:t>
            </w:r>
          </w:p>
          <w:p w14:paraId="7DE3CC84">
            <w:pPr>
              <w:adjustRightInd w:val="0"/>
              <w:snapToGrid w:val="0"/>
              <w:rPr>
                <w:rFonts w:hint="default" w:ascii="Times New Roman" w:hAnsi="Times New Roman" w:eastAsia="宋体" w:cs="Times New Roman"/>
                <w:color w:val="auto"/>
                <w:sz w:val="21"/>
                <w:szCs w:val="24"/>
                <w:highlight w:val="none"/>
                <w:u w:val="single"/>
                <w:lang w:val="en-US" w:eastAsia="zh-CN"/>
              </w:rPr>
            </w:pPr>
            <w:r>
              <w:rPr>
                <w:rFonts w:hint="default" w:ascii="Times New Roman" w:hAnsi="Times New Roman" w:eastAsia="宋体" w:cs="Times New Roman"/>
                <w:color w:val="auto"/>
                <w:sz w:val="21"/>
                <w:szCs w:val="24"/>
                <w:highlight w:val="none"/>
              </w:rPr>
              <w:sym w:font="Wingdings" w:char="00A8"/>
            </w:r>
            <w:r>
              <w:rPr>
                <w:rFonts w:hint="default" w:ascii="Times New Roman" w:hAnsi="Times New Roman" w:eastAsia="宋体" w:cs="Times New Roman"/>
                <w:color w:val="auto"/>
                <w:sz w:val="21"/>
                <w:szCs w:val="24"/>
                <w:highlight w:val="none"/>
              </w:rPr>
              <w:t>是：</w:t>
            </w:r>
          </w:p>
        </w:tc>
        <w:tc>
          <w:tcPr>
            <w:tcW w:w="1775" w:type="dxa"/>
            <w:noWrap w:val="0"/>
            <w:tcMar>
              <w:top w:w="16" w:type="dxa"/>
              <w:left w:w="16" w:type="dxa"/>
              <w:right w:w="16" w:type="dxa"/>
            </w:tcMar>
            <w:vAlign w:val="center"/>
          </w:tcPr>
          <w:p w14:paraId="2612EE7C">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pacing w:val="-6"/>
                <w:sz w:val="21"/>
                <w:szCs w:val="24"/>
                <w:highlight w:val="none"/>
              </w:rPr>
              <w:t>用地面积（m</w:t>
            </w:r>
            <w:r>
              <w:rPr>
                <w:rFonts w:hint="default" w:ascii="Times New Roman" w:hAnsi="Times New Roman" w:eastAsia="宋体" w:cs="Times New Roman"/>
                <w:color w:val="auto"/>
                <w:spacing w:val="-6"/>
                <w:sz w:val="21"/>
                <w:szCs w:val="24"/>
                <w:highlight w:val="none"/>
                <w:vertAlign w:val="superscript"/>
              </w:rPr>
              <w:t>2</w:t>
            </w:r>
            <w:r>
              <w:rPr>
                <w:rFonts w:hint="default" w:ascii="Times New Roman" w:hAnsi="Times New Roman" w:eastAsia="宋体" w:cs="Times New Roman"/>
                <w:color w:val="auto"/>
                <w:spacing w:val="-6"/>
                <w:sz w:val="21"/>
                <w:szCs w:val="24"/>
                <w:highlight w:val="none"/>
              </w:rPr>
              <w:t>）</w:t>
            </w:r>
          </w:p>
        </w:tc>
        <w:tc>
          <w:tcPr>
            <w:tcW w:w="3098" w:type="dxa"/>
            <w:noWrap w:val="0"/>
            <w:vAlign w:val="center"/>
          </w:tcPr>
          <w:p w14:paraId="131A950E">
            <w:pPr>
              <w:adjustRightInd w:val="0"/>
              <w:snapToGrid w:val="0"/>
              <w:jc w:val="center"/>
              <w:rPr>
                <w:rFonts w:hint="default" w:ascii="Times New Roman" w:hAnsi="Times New Roman" w:eastAsia="宋体" w:cs="Times New Roman"/>
                <w:color w:val="auto"/>
                <w:sz w:val="21"/>
                <w:szCs w:val="24"/>
                <w:highlight w:val="none"/>
                <w:lang w:val="en-US" w:eastAsia="zh-CN"/>
              </w:rPr>
            </w:pPr>
            <w:r>
              <w:rPr>
                <w:rFonts w:hint="eastAsia" w:cs="Times New Roman"/>
                <w:color w:val="auto"/>
                <w:sz w:val="21"/>
                <w:szCs w:val="24"/>
                <w:highlight w:val="none"/>
                <w:lang w:val="en-US" w:eastAsia="zh-CN"/>
              </w:rPr>
              <w:t>2500</w:t>
            </w:r>
          </w:p>
        </w:tc>
      </w:tr>
      <w:tr w14:paraId="387601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024" w:type="dxa"/>
            <w:noWrap w:val="0"/>
            <w:vAlign w:val="center"/>
          </w:tcPr>
          <w:p w14:paraId="7EEA3D20">
            <w:pPr>
              <w:autoSpaceDE w:val="0"/>
              <w:autoSpaceDN w:val="0"/>
              <w:adjustRightInd w:val="0"/>
              <w:snapToGrid w:val="0"/>
              <w:jc w:val="center"/>
              <w:rPr>
                <w:rFonts w:hint="default" w:ascii="Times New Roman" w:hAnsi="Times New Roman" w:eastAsia="宋体" w:cs="Times New Roman"/>
                <w:color w:val="auto"/>
                <w:kern w:val="0"/>
                <w:sz w:val="21"/>
                <w:szCs w:val="24"/>
                <w:highlight w:val="none"/>
              </w:rPr>
            </w:pPr>
            <w:r>
              <w:rPr>
                <w:rFonts w:hint="default" w:ascii="Times New Roman" w:hAnsi="Times New Roman" w:eastAsia="宋体" w:cs="Times New Roman"/>
                <w:color w:val="auto"/>
                <w:kern w:val="0"/>
                <w:sz w:val="21"/>
                <w:szCs w:val="24"/>
                <w:highlight w:val="none"/>
              </w:rPr>
              <w:t>专项评价设置情况</w:t>
            </w:r>
          </w:p>
        </w:tc>
        <w:tc>
          <w:tcPr>
            <w:tcW w:w="7796" w:type="dxa"/>
            <w:gridSpan w:val="3"/>
            <w:noWrap w:val="0"/>
            <w:vAlign w:val="center"/>
          </w:tcPr>
          <w:p w14:paraId="650631FF">
            <w:pPr>
              <w:keepNext/>
              <w:keepLines w:val="0"/>
              <w:pageBreakBefore w:val="0"/>
              <w:widowControl w:val="0"/>
              <w:kinsoku/>
              <w:wordWrap/>
              <w:overflowPunct w:val="0"/>
              <w:topLinePunct w:val="0"/>
              <w:autoSpaceDE/>
              <w:autoSpaceDN/>
              <w:bidi w:val="0"/>
              <w:adjustRightInd/>
              <w:snapToGrid w:val="0"/>
              <w:spacing w:line="240" w:lineRule="auto"/>
              <w:jc w:val="center"/>
              <w:textAlignment w:val="auto"/>
              <w:rPr>
                <w:rFonts w:hint="default" w:ascii="Times New Roman" w:hAnsi="Times New Roman" w:eastAsia="宋体" w:cs="Times New Roman"/>
                <w:smallCaps w:val="0"/>
                <w:color w:val="auto"/>
                <w:sz w:val="21"/>
                <w:highlight w:val="none"/>
              </w:rPr>
            </w:pPr>
            <w:r>
              <w:rPr>
                <w:rFonts w:hint="default" w:ascii="Times New Roman" w:hAnsi="Times New Roman" w:eastAsia="宋体" w:cs="Times New Roman"/>
                <w:b/>
                <w:smallCaps w:val="0"/>
                <w:color w:val="auto"/>
                <w:kern w:val="44"/>
                <w:sz w:val="21"/>
                <w:szCs w:val="20"/>
                <w:highlight w:val="none"/>
              </w:rPr>
              <w:t>表1-1 专项评价设置情况一览表</w:t>
            </w:r>
          </w:p>
          <w:tbl>
            <w:tblPr>
              <w:tblStyle w:val="42"/>
              <w:tblW w:w="5000" w:type="pct"/>
              <w:tblInd w:w="0"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2930"/>
              <w:gridCol w:w="3529"/>
            </w:tblGrid>
            <w:tr w14:paraId="0B18C825">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39" w:type="pct"/>
                  <w:noWrap w:val="0"/>
                  <w:vAlign w:val="center"/>
                </w:tcPr>
                <w:p w14:paraId="7C70224A">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专项评价类别</w:t>
                  </w:r>
                </w:p>
              </w:tc>
              <w:tc>
                <w:tcPr>
                  <w:tcW w:w="1932" w:type="pct"/>
                  <w:noWrap w:val="0"/>
                  <w:vAlign w:val="center"/>
                </w:tcPr>
                <w:p w14:paraId="339699AA">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设置原则</w:t>
                  </w:r>
                </w:p>
              </w:tc>
              <w:tc>
                <w:tcPr>
                  <w:tcW w:w="2327" w:type="pct"/>
                  <w:noWrap w:val="0"/>
                  <w:vAlign w:val="center"/>
                </w:tcPr>
                <w:p w14:paraId="20147A66">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本项目设置情况</w:t>
                  </w:r>
                </w:p>
              </w:tc>
            </w:tr>
            <w:tr w14:paraId="10175A92">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39" w:type="pct"/>
                  <w:noWrap w:val="0"/>
                  <w:vAlign w:val="center"/>
                </w:tcPr>
                <w:p w14:paraId="37106118">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大气</w:t>
                  </w:r>
                </w:p>
              </w:tc>
              <w:tc>
                <w:tcPr>
                  <w:tcW w:w="1932" w:type="pct"/>
                  <w:noWrap w:val="0"/>
                  <w:vAlign w:val="center"/>
                </w:tcPr>
                <w:p w14:paraId="6D3ABB82">
                  <w:pPr>
                    <w:jc w:val="left"/>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排放废气含有毒有害污染物，二噁英、苯并[a]芘、氰化物、氯气且厂界外500m范围内有环境空气保护目标的建设项目</w:t>
                  </w:r>
                </w:p>
              </w:tc>
              <w:tc>
                <w:tcPr>
                  <w:tcW w:w="2327" w:type="pct"/>
                  <w:noWrap w:val="0"/>
                  <w:vAlign w:val="center"/>
                </w:tcPr>
                <w:p w14:paraId="11A58E9A">
                  <w:pPr>
                    <w:jc w:val="left"/>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lang w:val="en-US" w:eastAsia="zh-CN"/>
                    </w:rPr>
                    <w:t>本项目为热力生产与供应项目，</w:t>
                  </w:r>
                  <w:r>
                    <w:rPr>
                      <w:rFonts w:hint="default" w:ascii="Times New Roman" w:hAnsi="Times New Roman" w:eastAsia="宋体" w:cs="Times New Roman"/>
                      <w:smallCaps w:val="0"/>
                      <w:snapToGrid w:val="0"/>
                      <w:color w:val="auto"/>
                      <w:kern w:val="0"/>
                      <w:sz w:val="21"/>
                      <w:szCs w:val="21"/>
                      <w:highlight w:val="none"/>
                    </w:rPr>
                    <w:t>根据《直接法测定固体生物质燃料中汞的试验研究》（煤质技术，2020年）可知，生物质汞含量</w:t>
                  </w:r>
                  <w:r>
                    <w:rPr>
                      <w:rFonts w:hint="eastAsia" w:ascii="Times New Roman" w:hAnsi="Times New Roman" w:eastAsia="宋体" w:cs="Times New Roman"/>
                      <w:smallCaps w:val="0"/>
                      <w:snapToGrid w:val="0"/>
                      <w:color w:val="auto"/>
                      <w:kern w:val="0"/>
                      <w:sz w:val="21"/>
                      <w:szCs w:val="21"/>
                      <w:highlight w:val="none"/>
                      <w:lang w:val="en-US" w:eastAsia="zh-CN"/>
                    </w:rPr>
                    <w:t>为</w:t>
                  </w:r>
                  <w:r>
                    <w:rPr>
                      <w:rFonts w:hint="default" w:ascii="Times New Roman" w:hAnsi="Times New Roman" w:eastAsia="宋体" w:cs="Times New Roman"/>
                      <w:smallCaps w:val="0"/>
                      <w:snapToGrid w:val="0"/>
                      <w:color w:val="auto"/>
                      <w:kern w:val="0"/>
                      <w:sz w:val="21"/>
                      <w:szCs w:val="21"/>
                      <w:highlight w:val="none"/>
                    </w:rPr>
                    <w:t>15.47ng/g。</w:t>
                  </w:r>
                  <w:r>
                    <w:rPr>
                      <w:rFonts w:hint="default" w:ascii="Times New Roman" w:hAnsi="Times New Roman" w:eastAsia="宋体" w:cs="Times New Roman"/>
                      <w:smallCaps w:val="0"/>
                      <w:snapToGrid w:val="0"/>
                      <w:color w:val="auto"/>
                      <w:kern w:val="0"/>
                      <w:sz w:val="21"/>
                      <w:szCs w:val="21"/>
                      <w:highlight w:val="none"/>
                      <w:lang w:val="en-US" w:eastAsia="zh-CN"/>
                    </w:rPr>
                    <w:t>汞含量极少，本次评价不考虑汞的排放，不设置大气专项</w:t>
                  </w:r>
                </w:p>
              </w:tc>
            </w:tr>
            <w:tr w14:paraId="1765B8E3">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39" w:type="pct"/>
                  <w:noWrap w:val="0"/>
                  <w:vAlign w:val="center"/>
                </w:tcPr>
                <w:p w14:paraId="47BD190B">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地表水</w:t>
                  </w:r>
                </w:p>
              </w:tc>
              <w:tc>
                <w:tcPr>
                  <w:tcW w:w="1932" w:type="pct"/>
                  <w:noWrap w:val="0"/>
                  <w:vAlign w:val="center"/>
                </w:tcPr>
                <w:p w14:paraId="74B5DFD5">
                  <w:pPr>
                    <w:jc w:val="left"/>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新增工业废水直排建设项目（槽罐车外送污水处理厂的除外）；新增废水直排的污水集中处理厂</w:t>
                  </w:r>
                </w:p>
              </w:tc>
              <w:tc>
                <w:tcPr>
                  <w:tcW w:w="2327" w:type="pct"/>
                  <w:noWrap w:val="0"/>
                  <w:vAlign w:val="center"/>
                </w:tcPr>
                <w:p w14:paraId="5678E55D">
                  <w:pPr>
                    <w:jc w:val="left"/>
                    <w:textAlignment w:val="baseline"/>
                    <w:rPr>
                      <w:rFonts w:hint="default"/>
                      <w:color w:val="auto"/>
                    </w:rPr>
                  </w:pPr>
                  <w:r>
                    <w:rPr>
                      <w:rFonts w:hint="default" w:ascii="Times New Roman" w:hAnsi="Times New Roman" w:eastAsia="宋体" w:cs="Times New Roman"/>
                      <w:smallCaps w:val="0"/>
                      <w:snapToGrid w:val="0"/>
                      <w:color w:val="auto"/>
                      <w:kern w:val="0"/>
                      <w:sz w:val="21"/>
                      <w:szCs w:val="21"/>
                      <w:highlight w:val="none"/>
                      <w:lang w:val="en-US" w:eastAsia="zh-CN"/>
                    </w:rPr>
                    <w:t>本项目</w:t>
                  </w:r>
                  <w:r>
                    <w:rPr>
                      <w:rFonts w:hint="eastAsia" w:cs="Times New Roman"/>
                      <w:smallCaps w:val="0"/>
                      <w:snapToGrid w:val="0"/>
                      <w:color w:val="auto"/>
                      <w:kern w:val="0"/>
                      <w:sz w:val="21"/>
                      <w:szCs w:val="21"/>
                      <w:highlight w:val="none"/>
                      <w:lang w:val="en-US" w:eastAsia="zh-CN"/>
                    </w:rPr>
                    <w:t>生产废水间接排放，生活废水不外排，</w:t>
                  </w:r>
                  <w:r>
                    <w:rPr>
                      <w:rFonts w:hint="default" w:ascii="Times New Roman" w:hAnsi="Times New Roman" w:eastAsia="宋体" w:cs="Times New Roman"/>
                      <w:smallCaps w:val="0"/>
                      <w:snapToGrid w:val="0"/>
                      <w:color w:val="auto"/>
                      <w:kern w:val="0"/>
                      <w:sz w:val="21"/>
                      <w:szCs w:val="21"/>
                      <w:highlight w:val="none"/>
                    </w:rPr>
                    <w:t>不需设置地表水专项评价。</w:t>
                  </w:r>
                </w:p>
              </w:tc>
            </w:tr>
          </w:tbl>
          <w:p w14:paraId="30272EA6">
            <w:pPr>
              <w:rPr>
                <w:color w:val="auto"/>
              </w:rPr>
            </w:pPr>
          </w:p>
          <w:p w14:paraId="3E06FC80">
            <w:pPr>
              <w:pStyle w:val="39"/>
              <w:rPr>
                <w:color w:val="auto"/>
              </w:rPr>
            </w:pPr>
          </w:p>
          <w:p w14:paraId="3AFCF223">
            <w:pPr>
              <w:keepNext/>
              <w:keepLines w:val="0"/>
              <w:pageBreakBefore w:val="0"/>
              <w:widowControl w:val="0"/>
              <w:kinsoku/>
              <w:wordWrap/>
              <w:overflowPunct w:val="0"/>
              <w:topLinePunct w:val="0"/>
              <w:autoSpaceDE/>
              <w:autoSpaceDN/>
              <w:bidi w:val="0"/>
              <w:adjustRightInd/>
              <w:snapToGrid w:val="0"/>
              <w:spacing w:line="240" w:lineRule="auto"/>
              <w:jc w:val="center"/>
              <w:textAlignment w:val="auto"/>
              <w:rPr>
                <w:rFonts w:hint="eastAsia"/>
                <w:color w:val="auto"/>
                <w:lang w:eastAsia="zh-CN"/>
              </w:rPr>
            </w:pPr>
            <w:r>
              <w:rPr>
                <w:rFonts w:hint="eastAsia" w:cs="Times New Roman"/>
                <w:b/>
                <w:smallCaps w:val="0"/>
                <w:color w:val="auto"/>
                <w:kern w:val="44"/>
                <w:sz w:val="21"/>
                <w:szCs w:val="20"/>
                <w:highlight w:val="none"/>
                <w:lang w:val="en-US" w:eastAsia="zh-CN"/>
              </w:rPr>
              <w:t>续</w:t>
            </w:r>
            <w:r>
              <w:rPr>
                <w:rFonts w:hint="default" w:ascii="Times New Roman" w:hAnsi="Times New Roman" w:eastAsia="宋体" w:cs="Times New Roman"/>
                <w:b/>
                <w:smallCaps w:val="0"/>
                <w:color w:val="auto"/>
                <w:kern w:val="44"/>
                <w:sz w:val="21"/>
                <w:szCs w:val="20"/>
                <w:highlight w:val="none"/>
              </w:rPr>
              <w:t>表1-1 专项评价设置情况一览表</w:t>
            </w:r>
          </w:p>
          <w:tbl>
            <w:tblPr>
              <w:tblStyle w:val="42"/>
              <w:tblW w:w="5000" w:type="pct"/>
              <w:tblInd w:w="0" w:type="dxa"/>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2930"/>
              <w:gridCol w:w="3529"/>
            </w:tblGrid>
            <w:tr w14:paraId="63CD0C7E">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479" w:hRule="atLeast"/>
              </w:trPr>
              <w:tc>
                <w:tcPr>
                  <w:tcW w:w="739" w:type="pct"/>
                  <w:noWrap w:val="0"/>
                  <w:vAlign w:val="center"/>
                </w:tcPr>
                <w:p w14:paraId="39C31C3F">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环境</w:t>
                  </w:r>
                </w:p>
                <w:p w14:paraId="39951478">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风险</w:t>
                  </w:r>
                </w:p>
              </w:tc>
              <w:tc>
                <w:tcPr>
                  <w:tcW w:w="1932" w:type="pct"/>
                  <w:noWrap w:val="0"/>
                  <w:vAlign w:val="center"/>
                </w:tcPr>
                <w:p w14:paraId="09275DF2">
                  <w:pPr>
                    <w:jc w:val="left"/>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有毒有害和易燃易爆危险物质存储量超过临界量的建设项目</w:t>
                  </w:r>
                </w:p>
              </w:tc>
              <w:tc>
                <w:tcPr>
                  <w:tcW w:w="2327" w:type="pct"/>
                  <w:noWrap w:val="0"/>
                  <w:vAlign w:val="center"/>
                </w:tcPr>
                <w:p w14:paraId="1D822E63">
                  <w:pPr>
                    <w:jc w:val="left"/>
                    <w:textAlignment w:val="baseline"/>
                    <w:rPr>
                      <w:rFonts w:hint="eastAsia" w:ascii="Times New Roman" w:hAnsi="Times New Roman" w:eastAsia="宋体" w:cs="Times New Roman"/>
                      <w:smallCaps w:val="0"/>
                      <w:snapToGrid w:val="0"/>
                      <w:color w:val="auto"/>
                      <w:kern w:val="0"/>
                      <w:sz w:val="21"/>
                      <w:szCs w:val="21"/>
                      <w:highlight w:val="none"/>
                      <w:lang w:eastAsia="zh-CN"/>
                    </w:rPr>
                  </w:pPr>
                  <w:r>
                    <w:rPr>
                      <w:rFonts w:hint="default" w:ascii="Times New Roman" w:hAnsi="Times New Roman" w:eastAsia="宋体" w:cs="Times New Roman"/>
                      <w:smallCaps w:val="0"/>
                      <w:snapToGrid w:val="0"/>
                      <w:color w:val="auto"/>
                      <w:kern w:val="0"/>
                      <w:sz w:val="21"/>
                      <w:szCs w:val="21"/>
                      <w:highlight w:val="none"/>
                    </w:rPr>
                    <w:t>根据《建设项目环境影响报告表编制技术指南（污染影响类）（试行）》，本项目不</w:t>
                  </w:r>
                  <w:r>
                    <w:rPr>
                      <w:rFonts w:hint="default" w:ascii="Times New Roman" w:hAnsi="Times New Roman" w:eastAsia="宋体" w:cs="Times New Roman"/>
                      <w:smallCaps w:val="0"/>
                      <w:snapToGrid w:val="0"/>
                      <w:color w:val="auto"/>
                      <w:kern w:val="0"/>
                      <w:sz w:val="21"/>
                      <w:szCs w:val="21"/>
                      <w:highlight w:val="none"/>
                      <w:lang w:val="en-US" w:eastAsia="zh-CN"/>
                    </w:rPr>
                    <w:t>使用</w:t>
                  </w:r>
                  <w:r>
                    <w:rPr>
                      <w:rFonts w:hint="default" w:ascii="Times New Roman" w:hAnsi="Times New Roman" w:eastAsia="宋体" w:cs="Times New Roman"/>
                      <w:smallCaps w:val="0"/>
                      <w:snapToGrid w:val="0"/>
                      <w:color w:val="auto"/>
                      <w:kern w:val="0"/>
                      <w:sz w:val="21"/>
                      <w:szCs w:val="21"/>
                      <w:highlight w:val="none"/>
                      <w:lang w:eastAsia="zh-CN"/>
                    </w:rPr>
                    <w:t>《建设项目环境风险评价技术导则》（</w:t>
                  </w:r>
                  <w:r>
                    <w:rPr>
                      <w:rFonts w:hint="default" w:ascii="Times New Roman" w:hAnsi="Times New Roman" w:eastAsia="宋体" w:cs="Times New Roman"/>
                      <w:smallCaps w:val="0"/>
                      <w:snapToGrid w:val="0"/>
                      <w:color w:val="auto"/>
                      <w:kern w:val="0"/>
                      <w:sz w:val="21"/>
                      <w:szCs w:val="21"/>
                      <w:highlight w:val="none"/>
                      <w:lang w:val="en-US" w:eastAsia="zh-CN"/>
                    </w:rPr>
                    <w:t>HJ169-2018</w:t>
                  </w:r>
                  <w:r>
                    <w:rPr>
                      <w:rFonts w:hint="default" w:ascii="Times New Roman" w:hAnsi="Times New Roman" w:eastAsia="宋体" w:cs="Times New Roman"/>
                      <w:smallCaps w:val="0"/>
                      <w:snapToGrid w:val="0"/>
                      <w:color w:val="auto"/>
                      <w:kern w:val="0"/>
                      <w:sz w:val="21"/>
                      <w:szCs w:val="21"/>
                      <w:highlight w:val="none"/>
                      <w:lang w:eastAsia="zh-CN"/>
                    </w:rPr>
                    <w:t>）附录</w:t>
                  </w:r>
                  <w:r>
                    <w:rPr>
                      <w:rFonts w:hint="default" w:ascii="Times New Roman" w:hAnsi="Times New Roman" w:eastAsia="宋体" w:cs="Times New Roman"/>
                      <w:smallCaps w:val="0"/>
                      <w:snapToGrid w:val="0"/>
                      <w:color w:val="auto"/>
                      <w:kern w:val="0"/>
                      <w:sz w:val="21"/>
                      <w:szCs w:val="21"/>
                      <w:highlight w:val="none"/>
                      <w:lang w:val="en-US" w:eastAsia="zh-CN"/>
                    </w:rPr>
                    <w:t>B中</w:t>
                  </w:r>
                  <w:r>
                    <w:rPr>
                      <w:rFonts w:hint="default" w:ascii="Times New Roman" w:hAnsi="Times New Roman" w:eastAsia="宋体" w:cs="Times New Roman"/>
                      <w:smallCaps w:val="0"/>
                      <w:snapToGrid w:val="0"/>
                      <w:color w:val="auto"/>
                      <w:kern w:val="0"/>
                      <w:sz w:val="21"/>
                      <w:szCs w:val="21"/>
                      <w:highlight w:val="none"/>
                    </w:rPr>
                    <w:t>有毒有害和易燃易爆危险物质，因此不需设置环境风险专项评价</w:t>
                  </w:r>
                  <w:r>
                    <w:rPr>
                      <w:rFonts w:hint="eastAsia" w:cs="Times New Roman"/>
                      <w:smallCaps w:val="0"/>
                      <w:snapToGrid w:val="0"/>
                      <w:color w:val="auto"/>
                      <w:kern w:val="0"/>
                      <w:sz w:val="21"/>
                      <w:szCs w:val="21"/>
                      <w:highlight w:val="none"/>
                      <w:lang w:eastAsia="zh-CN"/>
                    </w:rPr>
                    <w:t>。</w:t>
                  </w:r>
                </w:p>
              </w:tc>
            </w:tr>
            <w:tr w14:paraId="4CB88D56">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39" w:type="pct"/>
                  <w:noWrap w:val="0"/>
                  <w:vAlign w:val="center"/>
                </w:tcPr>
                <w:p w14:paraId="5ADD3BFB">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生态</w:t>
                  </w:r>
                </w:p>
              </w:tc>
              <w:tc>
                <w:tcPr>
                  <w:tcW w:w="1932" w:type="pct"/>
                  <w:noWrap w:val="0"/>
                  <w:vAlign w:val="center"/>
                </w:tcPr>
                <w:p w14:paraId="17ED3A1B">
                  <w:pPr>
                    <w:jc w:val="left"/>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取水口下游500m范围内有重要水生生物的自然产卵场、索饵场、越冬场和洄游通道的新增河道取水的污染类建设项目</w:t>
                  </w:r>
                </w:p>
              </w:tc>
              <w:tc>
                <w:tcPr>
                  <w:tcW w:w="2327" w:type="pct"/>
                  <w:noWrap w:val="0"/>
                  <w:vAlign w:val="center"/>
                </w:tcPr>
                <w:p w14:paraId="3AE367AA">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不涉及</w:t>
                  </w:r>
                </w:p>
              </w:tc>
            </w:tr>
            <w:tr w14:paraId="78B020B7">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39" w:type="pct"/>
                  <w:noWrap w:val="0"/>
                  <w:vAlign w:val="center"/>
                </w:tcPr>
                <w:p w14:paraId="2ACC7B9E">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海洋</w:t>
                  </w:r>
                </w:p>
              </w:tc>
              <w:tc>
                <w:tcPr>
                  <w:tcW w:w="1932" w:type="pct"/>
                  <w:noWrap w:val="0"/>
                  <w:vAlign w:val="center"/>
                </w:tcPr>
                <w:p w14:paraId="0E1EDAA9">
                  <w:pPr>
                    <w:jc w:val="left"/>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直接向海洋排放污染物的海洋工程建设项目</w:t>
                  </w:r>
                </w:p>
              </w:tc>
              <w:tc>
                <w:tcPr>
                  <w:tcW w:w="2327" w:type="pct"/>
                  <w:noWrap w:val="0"/>
                  <w:vAlign w:val="center"/>
                </w:tcPr>
                <w:p w14:paraId="4CD19CF0">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不涉及</w:t>
                  </w:r>
                </w:p>
              </w:tc>
            </w:tr>
            <w:tr w14:paraId="13A6D7CD">
              <w:tblPrEx>
                <w:tblBorders>
                  <w:top w:val="single" w:color="000000" w:sz="12" w:space="0"/>
                  <w:left w:val="none" w:color="auto" w:sz="0" w:space="0"/>
                  <w:bottom w:val="single" w:color="000000"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739" w:type="pct"/>
                  <w:noWrap w:val="0"/>
                  <w:vAlign w:val="center"/>
                </w:tcPr>
                <w:p w14:paraId="210BFAB3">
                  <w:pPr>
                    <w:jc w:val="center"/>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地下水</w:t>
                  </w:r>
                </w:p>
              </w:tc>
              <w:tc>
                <w:tcPr>
                  <w:tcW w:w="1932" w:type="pct"/>
                  <w:noWrap w:val="0"/>
                  <w:vAlign w:val="center"/>
                </w:tcPr>
                <w:p w14:paraId="1E5A542D">
                  <w:pPr>
                    <w:jc w:val="left"/>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原则上不开展专项评价，涉及集中式饮用水水源和热水、矿泉水、温泉等特殊地下水资源保护区的开展专项评价</w:t>
                  </w:r>
                </w:p>
              </w:tc>
              <w:tc>
                <w:tcPr>
                  <w:tcW w:w="2327" w:type="pct"/>
                  <w:noWrap w:val="0"/>
                  <w:vAlign w:val="center"/>
                </w:tcPr>
                <w:p w14:paraId="1D372BE3">
                  <w:pPr>
                    <w:jc w:val="left"/>
                    <w:textAlignment w:val="baseline"/>
                    <w:rPr>
                      <w:rFonts w:hint="default" w:ascii="Times New Roman" w:hAnsi="Times New Roman" w:eastAsia="宋体" w:cs="Times New Roman"/>
                      <w:smallCaps w:val="0"/>
                      <w:snapToGrid w:val="0"/>
                      <w:color w:val="auto"/>
                      <w:kern w:val="0"/>
                      <w:sz w:val="21"/>
                      <w:szCs w:val="21"/>
                      <w:highlight w:val="none"/>
                    </w:rPr>
                  </w:pPr>
                  <w:r>
                    <w:rPr>
                      <w:rFonts w:hint="default" w:ascii="Times New Roman" w:hAnsi="Times New Roman" w:eastAsia="宋体" w:cs="Times New Roman"/>
                      <w:smallCaps w:val="0"/>
                      <w:snapToGrid w:val="0"/>
                      <w:color w:val="auto"/>
                      <w:kern w:val="0"/>
                      <w:sz w:val="21"/>
                      <w:szCs w:val="21"/>
                      <w:highlight w:val="none"/>
                    </w:rPr>
                    <w:t>本项目场址周边不涉及集中式饮用水源和热水、矿泉水、温泉等特殊地下水资源保护区，不需设置。</w:t>
                  </w:r>
                </w:p>
              </w:tc>
            </w:tr>
          </w:tbl>
          <w:p w14:paraId="472B42BF">
            <w:pPr>
              <w:pStyle w:val="52"/>
              <w:jc w:val="center"/>
              <w:rPr>
                <w:rFonts w:hint="default" w:ascii="Times New Roman" w:hAnsi="Times New Roman" w:eastAsia="宋体" w:cs="Times New Roman"/>
                <w:color w:val="auto"/>
                <w:sz w:val="21"/>
                <w:szCs w:val="24"/>
                <w:highlight w:val="none"/>
                <w:lang w:val="en-US" w:eastAsia="zh-CN"/>
              </w:rPr>
            </w:pPr>
          </w:p>
        </w:tc>
      </w:tr>
      <w:tr w14:paraId="68D181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024" w:type="dxa"/>
            <w:noWrap w:val="0"/>
            <w:vAlign w:val="center"/>
          </w:tcPr>
          <w:p w14:paraId="59A5CBFE">
            <w:pPr>
              <w:autoSpaceDE w:val="0"/>
              <w:autoSpaceDN w:val="0"/>
              <w:adjustRightInd w:val="0"/>
              <w:snapToGrid w:val="0"/>
              <w:jc w:val="center"/>
              <w:rPr>
                <w:rFonts w:hint="default" w:ascii="Times New Roman" w:hAnsi="Times New Roman" w:eastAsia="宋体" w:cs="Times New Roman"/>
                <w:color w:val="auto"/>
                <w:kern w:val="0"/>
                <w:sz w:val="21"/>
                <w:szCs w:val="24"/>
                <w:highlight w:val="none"/>
              </w:rPr>
            </w:pPr>
            <w:r>
              <w:rPr>
                <w:rFonts w:hint="default" w:ascii="Times New Roman" w:hAnsi="Times New Roman" w:eastAsia="宋体" w:cs="Times New Roman"/>
                <w:color w:val="auto"/>
                <w:sz w:val="21"/>
                <w:szCs w:val="24"/>
                <w:highlight w:val="none"/>
              </w:rPr>
              <w:t>规划情况</w:t>
            </w:r>
          </w:p>
        </w:tc>
        <w:tc>
          <w:tcPr>
            <w:tcW w:w="7796" w:type="dxa"/>
            <w:gridSpan w:val="3"/>
            <w:noWrap w:val="0"/>
            <w:vAlign w:val="center"/>
          </w:tcPr>
          <w:p w14:paraId="150D5164">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firstLine="420" w:firstLineChars="20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0"/>
                <w:sz w:val="21"/>
                <w:szCs w:val="24"/>
                <w:highlight w:val="none"/>
              </w:rPr>
              <w:t>无</w:t>
            </w:r>
          </w:p>
        </w:tc>
      </w:tr>
      <w:tr w14:paraId="391D01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1024" w:type="dxa"/>
            <w:noWrap w:val="0"/>
            <w:vAlign w:val="center"/>
          </w:tcPr>
          <w:p w14:paraId="2E19227F">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规划环境影响</w:t>
            </w:r>
          </w:p>
          <w:p w14:paraId="0B09BBE1">
            <w:pPr>
              <w:adjustRightInd w:val="0"/>
              <w:snapToGrid w:val="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评价情况</w:t>
            </w:r>
          </w:p>
        </w:tc>
        <w:tc>
          <w:tcPr>
            <w:tcW w:w="7796" w:type="dxa"/>
            <w:gridSpan w:val="3"/>
            <w:noWrap w:val="0"/>
            <w:vAlign w:val="center"/>
          </w:tcPr>
          <w:p w14:paraId="31046125">
            <w:pPr>
              <w:keepNext w:val="0"/>
              <w:keepLines w:val="0"/>
              <w:pageBreakBefore w:val="0"/>
              <w:widowControl w:val="0"/>
              <w:kinsoku/>
              <w:wordWrap/>
              <w:overflowPunct/>
              <w:topLinePunct w:val="0"/>
              <w:autoSpaceDE w:val="0"/>
              <w:autoSpaceDN w:val="0"/>
              <w:bidi w:val="0"/>
              <w:adjustRightInd w:val="0"/>
              <w:snapToGrid w:val="0"/>
              <w:spacing w:beforeAutospacing="0" w:afterAutospacing="0" w:line="240" w:lineRule="auto"/>
              <w:ind w:left="0" w:leftChars="0" w:right="0" w:rightChars="0" w:firstLine="420" w:firstLineChars="200"/>
              <w:jc w:val="center"/>
              <w:textAlignment w:val="auto"/>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rPr>
              <w:t>无</w:t>
            </w:r>
          </w:p>
        </w:tc>
      </w:tr>
      <w:tr w14:paraId="647417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024" w:type="dxa"/>
            <w:noWrap w:val="0"/>
            <w:vAlign w:val="center"/>
          </w:tcPr>
          <w:p w14:paraId="3D7D4C7D">
            <w:pPr>
              <w:autoSpaceDE w:val="0"/>
              <w:autoSpaceDN w:val="0"/>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4"/>
                <w:highlight w:val="none"/>
              </w:rPr>
              <w:t>规划及规划环境影响评价符合性分析</w:t>
            </w:r>
          </w:p>
        </w:tc>
        <w:tc>
          <w:tcPr>
            <w:tcW w:w="7796" w:type="dxa"/>
            <w:gridSpan w:val="3"/>
            <w:noWrap w:val="0"/>
            <w:vAlign w:val="center"/>
          </w:tcPr>
          <w:p w14:paraId="48541E7D">
            <w:pPr>
              <w:keepNext w:val="0"/>
              <w:keepLines w:val="0"/>
              <w:pageBreakBefore w:val="0"/>
              <w:widowControl w:val="0"/>
              <w:kinsoku/>
              <w:wordWrap/>
              <w:overflowPunct/>
              <w:topLinePunct w:val="0"/>
              <w:bidi w:val="0"/>
              <w:adjustRightInd w:val="0"/>
              <w:snapToGrid w:val="0"/>
              <w:spacing w:beforeAutospacing="0" w:afterAutospacing="0" w:line="240" w:lineRule="auto"/>
              <w:ind w:left="0" w:leftChars="0" w:right="0" w:rightChars="0" w:firstLine="420" w:firstLineChars="200"/>
              <w:jc w:val="center"/>
              <w:textAlignment w:val="auto"/>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kern w:val="0"/>
                <w:sz w:val="21"/>
                <w:szCs w:val="24"/>
                <w:highlight w:val="none"/>
              </w:rPr>
              <w:t>无</w:t>
            </w:r>
          </w:p>
        </w:tc>
      </w:tr>
      <w:tr w14:paraId="7166FE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024" w:type="dxa"/>
            <w:noWrap w:val="0"/>
            <w:vAlign w:val="center"/>
          </w:tcPr>
          <w:p w14:paraId="523FC988">
            <w:pPr>
              <w:autoSpaceDE w:val="0"/>
              <w:autoSpaceDN w:val="0"/>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其他符合性分析</w:t>
            </w:r>
          </w:p>
        </w:tc>
        <w:tc>
          <w:tcPr>
            <w:tcW w:w="7796" w:type="dxa"/>
            <w:gridSpan w:val="3"/>
            <w:noWrap w:val="0"/>
            <w:vAlign w:val="center"/>
          </w:tcPr>
          <w:p w14:paraId="012C3E79">
            <w:pPr>
              <w:spacing w:line="360" w:lineRule="auto"/>
              <w:ind w:firstLine="422" w:firstLineChars="200"/>
              <w:jc w:val="left"/>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1、与“生态环境分区管控要求”符合性分析</w:t>
            </w:r>
          </w:p>
          <w:p w14:paraId="04FE2C94">
            <w:pPr>
              <w:pStyle w:val="6"/>
              <w:spacing w:line="360" w:lineRule="auto"/>
              <w:ind w:left="118" w:leftChars="56" w:firstLine="205" w:firstLineChars="98"/>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经“黑龙江省生态环境分区管控数据应用平台”查询，本工程与“黑龙江省生态环境分区管控”符合性情况如下：</w:t>
            </w:r>
          </w:p>
          <w:p w14:paraId="0322949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color w:val="auto"/>
                <w:szCs w:val="21"/>
              </w:rPr>
            </w:pPr>
            <w:r>
              <w:rPr>
                <w:rFonts w:hint="default" w:ascii="Times New Roman" w:hAnsi="Times New Roman" w:eastAsia="宋体" w:cs="Times New Roman"/>
                <w:b/>
                <w:bCs/>
                <w:color w:val="auto"/>
                <w:highlight w:val="none"/>
                <w:lang w:val="en-US" w:eastAsia="zh-CN"/>
              </w:rPr>
              <w:t>表1</w:t>
            </w:r>
            <w:r>
              <w:rPr>
                <w:rFonts w:hint="default" w:ascii="Times New Roman" w:hAnsi="Times New Roman" w:cs="Times New Roman" w:eastAsiaTheme="minorEastAsia"/>
                <w:b/>
                <w:bCs/>
                <w:color w:val="auto"/>
                <w:kern w:val="0"/>
                <w:szCs w:val="21"/>
              </w:rPr>
              <w:t>-</w:t>
            </w:r>
            <w:r>
              <w:rPr>
                <w:rFonts w:hint="default" w:ascii="Times New Roman" w:hAnsi="Times New Roman" w:cs="Times New Roman" w:eastAsiaTheme="minorEastAsia"/>
                <w:b/>
                <w:bCs/>
                <w:color w:val="auto"/>
                <w:kern w:val="0"/>
                <w:szCs w:val="21"/>
                <w:lang w:val="en-US" w:eastAsia="zh-CN"/>
              </w:rPr>
              <w:t>2</w:t>
            </w:r>
            <w:r>
              <w:rPr>
                <w:rFonts w:hint="default" w:ascii="Times New Roman" w:hAnsi="Times New Roman" w:eastAsia="宋体" w:cs="Times New Roman"/>
                <w:b/>
                <w:bCs/>
                <w:color w:val="auto"/>
                <w:highlight w:val="none"/>
                <w:lang w:val="en-US" w:eastAsia="zh-CN"/>
              </w:rPr>
              <w:t xml:space="preserve"> 本项目与黑龙江省生态环境分区管控成果相交情况一览表</w:t>
            </w:r>
          </w:p>
          <w:tbl>
            <w:tblPr>
              <w:tblStyle w:val="42"/>
              <w:tblW w:w="498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3" w:type="dxa"/>
                <w:bottom w:w="0" w:type="dxa"/>
                <w:right w:w="23" w:type="dxa"/>
              </w:tblCellMar>
            </w:tblPr>
            <w:tblGrid>
              <w:gridCol w:w="903"/>
              <w:gridCol w:w="1943"/>
              <w:gridCol w:w="726"/>
              <w:gridCol w:w="1236"/>
              <w:gridCol w:w="1029"/>
              <w:gridCol w:w="1719"/>
            </w:tblGrid>
            <w:tr w14:paraId="190A90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609" w:hRule="atLeast"/>
                <w:tblHeader/>
                <w:jc w:val="center"/>
              </w:trPr>
              <w:tc>
                <w:tcPr>
                  <w:tcW w:w="597" w:type="pct"/>
                  <w:tcBorders>
                    <w:tl2br w:val="nil"/>
                    <w:tr2bl w:val="nil"/>
                  </w:tcBorders>
                  <w:tcMar>
                    <w:top w:w="15" w:type="dxa"/>
                    <w:left w:w="108" w:type="dxa"/>
                    <w:bottom w:w="15" w:type="dxa"/>
                    <w:right w:w="108" w:type="dxa"/>
                  </w:tcMar>
                  <w:vAlign w:val="center"/>
                </w:tcPr>
                <w:p w14:paraId="208E9B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一级分类</w:t>
                  </w:r>
                </w:p>
              </w:tc>
              <w:tc>
                <w:tcPr>
                  <w:tcW w:w="1285" w:type="pct"/>
                  <w:tcBorders>
                    <w:tl2br w:val="nil"/>
                    <w:tr2bl w:val="nil"/>
                  </w:tcBorders>
                  <w:tcMar>
                    <w:top w:w="15" w:type="dxa"/>
                    <w:left w:w="108" w:type="dxa"/>
                    <w:bottom w:w="15" w:type="dxa"/>
                    <w:right w:w="108" w:type="dxa"/>
                  </w:tcMar>
                  <w:vAlign w:val="center"/>
                </w:tcPr>
                <w:p w14:paraId="1027F4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二级分类</w:t>
                  </w:r>
                </w:p>
              </w:tc>
              <w:tc>
                <w:tcPr>
                  <w:tcW w:w="480" w:type="pct"/>
                  <w:tcBorders>
                    <w:tl2br w:val="nil"/>
                    <w:tr2bl w:val="nil"/>
                  </w:tcBorders>
                  <w:tcMar>
                    <w:top w:w="15" w:type="dxa"/>
                    <w:left w:w="108" w:type="dxa"/>
                    <w:bottom w:w="15" w:type="dxa"/>
                    <w:right w:w="108" w:type="dxa"/>
                  </w:tcMar>
                  <w:vAlign w:val="center"/>
                </w:tcPr>
                <w:p w14:paraId="290368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rPr>
                    <w:t>是否相交</w:t>
                  </w:r>
                </w:p>
              </w:tc>
              <w:tc>
                <w:tcPr>
                  <w:tcW w:w="817" w:type="pct"/>
                  <w:tcBorders>
                    <w:tl2br w:val="nil"/>
                    <w:tr2bl w:val="nil"/>
                  </w:tcBorders>
                  <w:tcMar>
                    <w:top w:w="15" w:type="dxa"/>
                    <w:left w:w="108" w:type="dxa"/>
                    <w:bottom w:w="15" w:type="dxa"/>
                    <w:right w:w="108" w:type="dxa"/>
                  </w:tcMar>
                  <w:vAlign w:val="center"/>
                </w:tcPr>
                <w:p w14:paraId="791011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rPr>
                    <w:t>所属地市</w:t>
                  </w:r>
                </w:p>
              </w:tc>
              <w:tc>
                <w:tcPr>
                  <w:tcW w:w="680" w:type="pct"/>
                  <w:tcBorders>
                    <w:tl2br w:val="nil"/>
                    <w:tr2bl w:val="nil"/>
                  </w:tcBorders>
                  <w:tcMar>
                    <w:top w:w="15" w:type="dxa"/>
                    <w:left w:w="108" w:type="dxa"/>
                    <w:bottom w:w="15" w:type="dxa"/>
                    <w:right w:w="108" w:type="dxa"/>
                  </w:tcMar>
                  <w:vAlign w:val="center"/>
                </w:tcPr>
                <w:p w14:paraId="26025E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rPr>
                    <w:t>所属区县</w:t>
                  </w:r>
                </w:p>
              </w:tc>
              <w:tc>
                <w:tcPr>
                  <w:tcW w:w="1137" w:type="pct"/>
                  <w:tcBorders>
                    <w:tl2br w:val="nil"/>
                    <w:tr2bl w:val="nil"/>
                  </w:tcBorders>
                  <w:tcMar>
                    <w:top w:w="15" w:type="dxa"/>
                    <w:left w:w="108" w:type="dxa"/>
                    <w:bottom w:w="15" w:type="dxa"/>
                    <w:right w:w="108" w:type="dxa"/>
                  </w:tcMar>
                  <w:vAlign w:val="center"/>
                </w:tcPr>
                <w:p w14:paraId="412361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zh-CN"/>
                    </w:rPr>
                    <w:t>相交</w:t>
                  </w:r>
                  <w:r>
                    <w:rPr>
                      <w:rFonts w:hint="default" w:ascii="Times New Roman" w:hAnsi="Times New Roman" w:cs="Times New Roman"/>
                      <w:color w:val="auto"/>
                      <w:sz w:val="21"/>
                      <w:szCs w:val="21"/>
                      <w:highlight w:val="none"/>
                      <w:lang w:val="en-US" w:eastAsia="zh-CN"/>
                    </w:rPr>
                    <w:t>单元名称</w:t>
                  </w:r>
                </w:p>
              </w:tc>
            </w:tr>
            <w:tr w14:paraId="0B1100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63" w:hRule="atLeast"/>
                <w:jc w:val="center"/>
              </w:trPr>
              <w:tc>
                <w:tcPr>
                  <w:tcW w:w="597" w:type="pct"/>
                  <w:vMerge w:val="restart"/>
                  <w:tcBorders>
                    <w:tl2br w:val="nil"/>
                    <w:tr2bl w:val="nil"/>
                  </w:tcBorders>
                  <w:tcMar>
                    <w:top w:w="15" w:type="dxa"/>
                    <w:left w:w="108" w:type="dxa"/>
                    <w:bottom w:w="15" w:type="dxa"/>
                    <w:right w:w="108" w:type="dxa"/>
                  </w:tcMar>
                  <w:vAlign w:val="center"/>
                </w:tcPr>
                <w:p w14:paraId="1F4115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rPr>
                    <w:t>环境质量底线</w:t>
                  </w:r>
                </w:p>
              </w:tc>
              <w:tc>
                <w:tcPr>
                  <w:tcW w:w="1285" w:type="pct"/>
                  <w:tcBorders>
                    <w:tl2br w:val="nil"/>
                    <w:tr2bl w:val="nil"/>
                  </w:tcBorders>
                  <w:tcMar>
                    <w:top w:w="15" w:type="dxa"/>
                    <w:left w:w="108" w:type="dxa"/>
                    <w:bottom w:w="15" w:type="dxa"/>
                    <w:right w:w="108" w:type="dxa"/>
                  </w:tcMar>
                  <w:vAlign w:val="center"/>
                </w:tcPr>
                <w:p w14:paraId="0D5292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水环境</w:t>
                  </w:r>
                  <w:r>
                    <w:rPr>
                      <w:rFonts w:hint="eastAsia" w:cs="Times New Roman"/>
                      <w:color w:val="auto"/>
                      <w:sz w:val="21"/>
                      <w:szCs w:val="21"/>
                      <w:highlight w:val="none"/>
                      <w:lang w:val="en-US" w:eastAsia="zh-CN"/>
                    </w:rPr>
                    <w:t>一般</w:t>
                  </w:r>
                  <w:r>
                    <w:rPr>
                      <w:rFonts w:hint="default" w:ascii="Times New Roman" w:hAnsi="Times New Roman" w:cs="Times New Roman"/>
                      <w:color w:val="auto"/>
                      <w:sz w:val="21"/>
                      <w:szCs w:val="21"/>
                      <w:highlight w:val="none"/>
                    </w:rPr>
                    <w:t>管控区</w:t>
                  </w:r>
                </w:p>
              </w:tc>
              <w:tc>
                <w:tcPr>
                  <w:tcW w:w="480" w:type="pct"/>
                  <w:tcBorders>
                    <w:tl2br w:val="nil"/>
                    <w:tr2bl w:val="nil"/>
                  </w:tcBorders>
                  <w:tcMar>
                    <w:top w:w="15" w:type="dxa"/>
                    <w:left w:w="108" w:type="dxa"/>
                    <w:bottom w:w="15" w:type="dxa"/>
                    <w:right w:w="108" w:type="dxa"/>
                  </w:tcMar>
                  <w:vAlign w:val="center"/>
                </w:tcPr>
                <w:p w14:paraId="3DC18D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是</w:t>
                  </w:r>
                </w:p>
              </w:tc>
              <w:tc>
                <w:tcPr>
                  <w:tcW w:w="817" w:type="pct"/>
                  <w:tcBorders>
                    <w:tl2br w:val="nil"/>
                    <w:tr2bl w:val="nil"/>
                  </w:tcBorders>
                  <w:tcMar>
                    <w:top w:w="15" w:type="dxa"/>
                    <w:left w:w="108" w:type="dxa"/>
                    <w:bottom w:w="15" w:type="dxa"/>
                    <w:right w:w="108" w:type="dxa"/>
                  </w:tcMar>
                  <w:vAlign w:val="center"/>
                </w:tcPr>
                <w:p w14:paraId="4207A6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eastAsia" w:cs="Times New Roman"/>
                      <w:color w:val="auto"/>
                      <w:sz w:val="21"/>
                      <w:szCs w:val="21"/>
                      <w:highlight w:val="none"/>
                      <w:lang w:val="en-US" w:eastAsia="zh-CN"/>
                    </w:rPr>
                    <w:t>伊春</w:t>
                  </w:r>
                  <w:r>
                    <w:rPr>
                      <w:rFonts w:hint="default" w:ascii="Times New Roman" w:hAnsi="Times New Roman" w:cs="Times New Roman"/>
                      <w:color w:val="auto"/>
                      <w:sz w:val="21"/>
                      <w:szCs w:val="21"/>
                      <w:highlight w:val="none"/>
                    </w:rPr>
                    <w:t>市</w:t>
                  </w:r>
                </w:p>
              </w:tc>
              <w:tc>
                <w:tcPr>
                  <w:tcW w:w="680" w:type="pct"/>
                  <w:tcBorders>
                    <w:tl2br w:val="nil"/>
                    <w:tr2bl w:val="nil"/>
                  </w:tcBorders>
                  <w:tcMar>
                    <w:top w:w="15" w:type="dxa"/>
                    <w:left w:w="108" w:type="dxa"/>
                    <w:bottom w:w="15" w:type="dxa"/>
                    <w:right w:w="108" w:type="dxa"/>
                  </w:tcMar>
                  <w:vAlign w:val="center"/>
                </w:tcPr>
                <w:p w14:paraId="6DB92D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铁力市</w:t>
                  </w:r>
                </w:p>
              </w:tc>
              <w:tc>
                <w:tcPr>
                  <w:tcW w:w="1137" w:type="pct"/>
                  <w:tcBorders>
                    <w:tl2br w:val="nil"/>
                    <w:tr2bl w:val="nil"/>
                  </w:tcBorders>
                  <w:shd w:val="clear" w:color="auto" w:fill="auto"/>
                  <w:tcMar>
                    <w:top w:w="15" w:type="dxa"/>
                    <w:left w:w="108" w:type="dxa"/>
                    <w:bottom w:w="15" w:type="dxa"/>
                    <w:right w:w="108" w:type="dxa"/>
                  </w:tcMar>
                  <w:vAlign w:val="center"/>
                </w:tcPr>
                <w:p w14:paraId="5E1BD5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呼兰河双河渠首铁力市</w:t>
                  </w:r>
                </w:p>
              </w:tc>
            </w:tr>
            <w:tr w14:paraId="1C902F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363" w:hRule="atLeast"/>
                <w:jc w:val="center"/>
              </w:trPr>
              <w:tc>
                <w:tcPr>
                  <w:tcW w:w="597" w:type="pct"/>
                  <w:vMerge w:val="continue"/>
                  <w:tcBorders>
                    <w:tl2br w:val="nil"/>
                    <w:tr2bl w:val="nil"/>
                  </w:tcBorders>
                  <w:tcMar>
                    <w:top w:w="15" w:type="dxa"/>
                    <w:left w:w="108" w:type="dxa"/>
                    <w:bottom w:w="15" w:type="dxa"/>
                    <w:right w:w="108" w:type="dxa"/>
                  </w:tcMar>
                  <w:vAlign w:val="center"/>
                </w:tcPr>
                <w:p w14:paraId="58D7C7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rPr>
                  </w:pPr>
                </w:p>
              </w:tc>
              <w:tc>
                <w:tcPr>
                  <w:tcW w:w="1285" w:type="pct"/>
                  <w:tcBorders>
                    <w:tl2br w:val="nil"/>
                    <w:tr2bl w:val="nil"/>
                  </w:tcBorders>
                  <w:tcMar>
                    <w:top w:w="15" w:type="dxa"/>
                    <w:left w:w="108" w:type="dxa"/>
                    <w:bottom w:w="15" w:type="dxa"/>
                    <w:right w:w="108" w:type="dxa"/>
                  </w:tcMar>
                  <w:vAlign w:val="center"/>
                </w:tcPr>
                <w:p w14:paraId="67B43D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大气环境受体敏感重点管控区</w:t>
                  </w:r>
                </w:p>
              </w:tc>
              <w:tc>
                <w:tcPr>
                  <w:tcW w:w="480" w:type="pct"/>
                  <w:tcBorders>
                    <w:tl2br w:val="nil"/>
                    <w:tr2bl w:val="nil"/>
                  </w:tcBorders>
                  <w:tcMar>
                    <w:top w:w="15" w:type="dxa"/>
                    <w:left w:w="108" w:type="dxa"/>
                    <w:bottom w:w="15" w:type="dxa"/>
                    <w:right w:w="108" w:type="dxa"/>
                  </w:tcMar>
                  <w:vAlign w:val="center"/>
                </w:tcPr>
                <w:p w14:paraId="3A0596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是</w:t>
                  </w:r>
                </w:p>
              </w:tc>
              <w:tc>
                <w:tcPr>
                  <w:tcW w:w="817" w:type="pct"/>
                  <w:tcBorders>
                    <w:tl2br w:val="nil"/>
                    <w:tr2bl w:val="nil"/>
                  </w:tcBorders>
                  <w:tcMar>
                    <w:top w:w="15" w:type="dxa"/>
                    <w:left w:w="108" w:type="dxa"/>
                    <w:bottom w:w="15" w:type="dxa"/>
                    <w:right w:w="108" w:type="dxa"/>
                  </w:tcMar>
                  <w:vAlign w:val="center"/>
                </w:tcPr>
                <w:p w14:paraId="1019FF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伊春</w:t>
                  </w:r>
                  <w:r>
                    <w:rPr>
                      <w:rFonts w:hint="default" w:ascii="Times New Roman" w:hAnsi="Times New Roman" w:cs="Times New Roman"/>
                      <w:color w:val="auto"/>
                      <w:sz w:val="21"/>
                      <w:szCs w:val="21"/>
                      <w:highlight w:val="none"/>
                    </w:rPr>
                    <w:t>市</w:t>
                  </w:r>
                </w:p>
              </w:tc>
              <w:tc>
                <w:tcPr>
                  <w:tcW w:w="680" w:type="pct"/>
                  <w:tcBorders>
                    <w:tl2br w:val="nil"/>
                    <w:tr2bl w:val="nil"/>
                  </w:tcBorders>
                  <w:tcMar>
                    <w:top w:w="15" w:type="dxa"/>
                    <w:left w:w="108" w:type="dxa"/>
                    <w:bottom w:w="15" w:type="dxa"/>
                    <w:right w:w="108" w:type="dxa"/>
                  </w:tcMar>
                  <w:vAlign w:val="center"/>
                </w:tcPr>
                <w:p w14:paraId="3C96F9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铁力市</w:t>
                  </w:r>
                </w:p>
              </w:tc>
              <w:tc>
                <w:tcPr>
                  <w:tcW w:w="1137" w:type="pct"/>
                  <w:tcBorders>
                    <w:tl2br w:val="nil"/>
                    <w:tr2bl w:val="nil"/>
                  </w:tcBorders>
                  <w:shd w:val="clear" w:color="auto" w:fill="auto"/>
                  <w:tcMar>
                    <w:top w:w="15" w:type="dxa"/>
                    <w:left w:w="108" w:type="dxa"/>
                    <w:bottom w:w="15" w:type="dxa"/>
                    <w:right w:w="108" w:type="dxa"/>
                  </w:tcMar>
                  <w:vAlign w:val="center"/>
                </w:tcPr>
                <w:p w14:paraId="24CE27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铁力市大气环境受体敏感</w:t>
                  </w:r>
                  <w:r>
                    <w:rPr>
                      <w:rFonts w:hint="default" w:ascii="Times New Roman" w:hAnsi="Times New Roman" w:cs="Times New Roman"/>
                      <w:color w:val="auto"/>
                      <w:sz w:val="21"/>
                      <w:szCs w:val="21"/>
                      <w:highlight w:val="none"/>
                      <w:lang w:val="en-US" w:eastAsia="zh-CN"/>
                    </w:rPr>
                    <w:t>重点管控区</w:t>
                  </w:r>
                </w:p>
              </w:tc>
            </w:tr>
            <w:tr w14:paraId="4B230E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606" w:hRule="atLeast"/>
                <w:jc w:val="center"/>
              </w:trPr>
              <w:tc>
                <w:tcPr>
                  <w:tcW w:w="597" w:type="pct"/>
                  <w:vMerge w:val="continue"/>
                  <w:tcBorders>
                    <w:tl2br w:val="nil"/>
                    <w:tr2bl w:val="nil"/>
                  </w:tcBorders>
                  <w:tcMar>
                    <w:top w:w="15" w:type="dxa"/>
                    <w:left w:w="108" w:type="dxa"/>
                    <w:bottom w:w="15" w:type="dxa"/>
                    <w:right w:w="108" w:type="dxa"/>
                  </w:tcMar>
                  <w:vAlign w:val="center"/>
                </w:tcPr>
                <w:p w14:paraId="11F175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rPr>
                  </w:pPr>
                </w:p>
              </w:tc>
              <w:tc>
                <w:tcPr>
                  <w:tcW w:w="1285" w:type="pct"/>
                  <w:tcBorders>
                    <w:tl2br w:val="nil"/>
                    <w:tr2bl w:val="nil"/>
                  </w:tcBorders>
                  <w:tcMar>
                    <w:top w:w="15" w:type="dxa"/>
                    <w:left w:w="108" w:type="dxa"/>
                    <w:bottom w:w="15" w:type="dxa"/>
                    <w:right w:w="108" w:type="dxa"/>
                  </w:tcMar>
                  <w:vAlign w:val="center"/>
                </w:tcPr>
                <w:p w14:paraId="33951E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大气环境</w:t>
                  </w:r>
                  <w:r>
                    <w:rPr>
                      <w:rFonts w:hint="eastAsia" w:cs="Times New Roman"/>
                      <w:color w:val="auto"/>
                      <w:sz w:val="21"/>
                      <w:szCs w:val="21"/>
                      <w:highlight w:val="none"/>
                      <w:lang w:val="en-US" w:eastAsia="zh-CN"/>
                    </w:rPr>
                    <w:t>一般</w:t>
                  </w:r>
                  <w:r>
                    <w:rPr>
                      <w:rFonts w:hint="default" w:ascii="Times New Roman" w:hAnsi="Times New Roman" w:cs="Times New Roman"/>
                      <w:color w:val="auto"/>
                      <w:sz w:val="21"/>
                      <w:szCs w:val="21"/>
                      <w:highlight w:val="none"/>
                      <w:lang w:val="en-US" w:eastAsia="zh-CN"/>
                    </w:rPr>
                    <w:t>管控区</w:t>
                  </w:r>
                </w:p>
              </w:tc>
              <w:tc>
                <w:tcPr>
                  <w:tcW w:w="480" w:type="pct"/>
                  <w:tcBorders>
                    <w:tl2br w:val="nil"/>
                    <w:tr2bl w:val="nil"/>
                  </w:tcBorders>
                  <w:tcMar>
                    <w:top w:w="15" w:type="dxa"/>
                    <w:left w:w="108" w:type="dxa"/>
                    <w:bottom w:w="15" w:type="dxa"/>
                    <w:right w:w="108" w:type="dxa"/>
                  </w:tcMar>
                  <w:vAlign w:val="center"/>
                </w:tcPr>
                <w:p w14:paraId="646C00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是</w:t>
                  </w:r>
                </w:p>
              </w:tc>
              <w:tc>
                <w:tcPr>
                  <w:tcW w:w="817" w:type="pct"/>
                  <w:tcBorders>
                    <w:tl2br w:val="nil"/>
                    <w:tr2bl w:val="nil"/>
                  </w:tcBorders>
                  <w:tcMar>
                    <w:top w:w="15" w:type="dxa"/>
                    <w:left w:w="108" w:type="dxa"/>
                    <w:bottom w:w="15" w:type="dxa"/>
                    <w:right w:w="108" w:type="dxa"/>
                  </w:tcMar>
                  <w:vAlign w:val="center"/>
                </w:tcPr>
                <w:p w14:paraId="24A6C2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伊春</w:t>
                  </w:r>
                  <w:r>
                    <w:rPr>
                      <w:rFonts w:hint="default" w:ascii="Times New Roman" w:hAnsi="Times New Roman" w:cs="Times New Roman"/>
                      <w:color w:val="auto"/>
                      <w:sz w:val="21"/>
                      <w:szCs w:val="21"/>
                      <w:highlight w:val="none"/>
                    </w:rPr>
                    <w:t>市</w:t>
                  </w:r>
                </w:p>
              </w:tc>
              <w:tc>
                <w:tcPr>
                  <w:tcW w:w="680" w:type="pct"/>
                  <w:tcBorders>
                    <w:tl2br w:val="nil"/>
                    <w:tr2bl w:val="nil"/>
                  </w:tcBorders>
                  <w:tcMar>
                    <w:top w:w="15" w:type="dxa"/>
                    <w:left w:w="108" w:type="dxa"/>
                    <w:bottom w:w="15" w:type="dxa"/>
                    <w:right w:w="108" w:type="dxa"/>
                  </w:tcMar>
                  <w:vAlign w:val="center"/>
                </w:tcPr>
                <w:p w14:paraId="4DE52E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铁力市</w:t>
                  </w:r>
                </w:p>
              </w:tc>
              <w:tc>
                <w:tcPr>
                  <w:tcW w:w="1137" w:type="pct"/>
                  <w:tcBorders>
                    <w:tl2br w:val="nil"/>
                    <w:tr2bl w:val="nil"/>
                  </w:tcBorders>
                  <w:tcMar>
                    <w:top w:w="15" w:type="dxa"/>
                    <w:left w:w="108" w:type="dxa"/>
                    <w:bottom w:w="15" w:type="dxa"/>
                    <w:right w:w="108" w:type="dxa"/>
                  </w:tcMar>
                  <w:vAlign w:val="center"/>
                </w:tcPr>
                <w:p w14:paraId="6329A6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铁力市大气环境一般</w:t>
                  </w:r>
                  <w:r>
                    <w:rPr>
                      <w:rFonts w:hint="default" w:ascii="Times New Roman" w:hAnsi="Times New Roman" w:cs="Times New Roman"/>
                      <w:color w:val="auto"/>
                      <w:sz w:val="21"/>
                      <w:szCs w:val="21"/>
                      <w:highlight w:val="none"/>
                      <w:lang w:val="en-US" w:eastAsia="zh-CN"/>
                    </w:rPr>
                    <w:t>管控区</w:t>
                  </w:r>
                </w:p>
              </w:tc>
            </w:tr>
            <w:tr w14:paraId="01B2CD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90" w:hRule="atLeast"/>
                <w:jc w:val="center"/>
              </w:trPr>
              <w:tc>
                <w:tcPr>
                  <w:tcW w:w="597" w:type="pct"/>
                  <w:tcBorders>
                    <w:tl2br w:val="nil"/>
                    <w:tr2bl w:val="nil"/>
                  </w:tcBorders>
                  <w:tcMar>
                    <w:top w:w="15" w:type="dxa"/>
                    <w:left w:w="108" w:type="dxa"/>
                    <w:bottom w:w="15" w:type="dxa"/>
                    <w:right w:w="108" w:type="dxa"/>
                  </w:tcMar>
                  <w:vAlign w:val="center"/>
                </w:tcPr>
                <w:p w14:paraId="7BF2C5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rPr>
                    <w:t>资源利用上线</w:t>
                  </w:r>
                </w:p>
              </w:tc>
              <w:tc>
                <w:tcPr>
                  <w:tcW w:w="1285" w:type="pct"/>
                  <w:tcBorders>
                    <w:tl2br w:val="nil"/>
                    <w:tr2bl w:val="nil"/>
                  </w:tcBorders>
                  <w:tcMar>
                    <w:top w:w="15" w:type="dxa"/>
                    <w:left w:w="108" w:type="dxa"/>
                    <w:bottom w:w="15" w:type="dxa"/>
                    <w:right w:w="108" w:type="dxa"/>
                  </w:tcMar>
                  <w:vAlign w:val="center"/>
                </w:tcPr>
                <w:p w14:paraId="46029A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自然资源一般管控区</w:t>
                  </w:r>
                </w:p>
              </w:tc>
              <w:tc>
                <w:tcPr>
                  <w:tcW w:w="480" w:type="pct"/>
                  <w:tcBorders>
                    <w:tl2br w:val="nil"/>
                    <w:tr2bl w:val="nil"/>
                  </w:tcBorders>
                  <w:tcMar>
                    <w:top w:w="15" w:type="dxa"/>
                    <w:left w:w="108" w:type="dxa"/>
                    <w:bottom w:w="15" w:type="dxa"/>
                    <w:right w:w="108" w:type="dxa"/>
                  </w:tcMar>
                  <w:vAlign w:val="center"/>
                </w:tcPr>
                <w:p w14:paraId="0590B8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是</w:t>
                  </w:r>
                </w:p>
              </w:tc>
              <w:tc>
                <w:tcPr>
                  <w:tcW w:w="817" w:type="pct"/>
                  <w:tcBorders>
                    <w:tl2br w:val="nil"/>
                    <w:tr2bl w:val="nil"/>
                  </w:tcBorders>
                  <w:tcMar>
                    <w:top w:w="15" w:type="dxa"/>
                    <w:left w:w="108" w:type="dxa"/>
                    <w:bottom w:w="15" w:type="dxa"/>
                    <w:right w:w="108" w:type="dxa"/>
                  </w:tcMar>
                  <w:vAlign w:val="center"/>
                </w:tcPr>
                <w:p w14:paraId="1BE39F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伊春</w:t>
                  </w:r>
                  <w:r>
                    <w:rPr>
                      <w:rFonts w:hint="default" w:ascii="Times New Roman" w:hAnsi="Times New Roman" w:cs="Times New Roman"/>
                      <w:color w:val="auto"/>
                      <w:sz w:val="21"/>
                      <w:szCs w:val="21"/>
                      <w:highlight w:val="none"/>
                    </w:rPr>
                    <w:t>市</w:t>
                  </w:r>
                </w:p>
              </w:tc>
              <w:tc>
                <w:tcPr>
                  <w:tcW w:w="680" w:type="pct"/>
                  <w:tcBorders>
                    <w:tl2br w:val="nil"/>
                    <w:tr2bl w:val="nil"/>
                  </w:tcBorders>
                  <w:tcMar>
                    <w:top w:w="15" w:type="dxa"/>
                    <w:left w:w="108" w:type="dxa"/>
                    <w:bottom w:w="15" w:type="dxa"/>
                    <w:right w:w="108" w:type="dxa"/>
                  </w:tcMar>
                  <w:vAlign w:val="center"/>
                </w:tcPr>
                <w:p w14:paraId="348E85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highlight w:val="none"/>
                      <w:lang w:val="zh-CN"/>
                    </w:rPr>
                  </w:pPr>
                  <w:r>
                    <w:rPr>
                      <w:rFonts w:hint="eastAsia" w:cs="Times New Roman"/>
                      <w:color w:val="auto"/>
                      <w:sz w:val="21"/>
                      <w:szCs w:val="21"/>
                      <w:highlight w:val="none"/>
                      <w:lang w:val="en-US" w:eastAsia="zh-CN"/>
                    </w:rPr>
                    <w:t>铁力市</w:t>
                  </w:r>
                </w:p>
              </w:tc>
              <w:tc>
                <w:tcPr>
                  <w:tcW w:w="1137" w:type="pct"/>
                  <w:tcBorders>
                    <w:tl2br w:val="nil"/>
                    <w:tr2bl w:val="nil"/>
                  </w:tcBorders>
                  <w:tcMar>
                    <w:top w:w="15" w:type="dxa"/>
                    <w:left w:w="108" w:type="dxa"/>
                    <w:bottom w:w="15" w:type="dxa"/>
                    <w:right w:w="108" w:type="dxa"/>
                  </w:tcMar>
                  <w:vAlign w:val="center"/>
                </w:tcPr>
                <w:p w14:paraId="46C02B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铁力市自然资源</w:t>
                  </w:r>
                  <w:r>
                    <w:rPr>
                      <w:rFonts w:hint="default" w:ascii="Times New Roman" w:hAnsi="Times New Roman" w:cs="Times New Roman"/>
                      <w:color w:val="auto"/>
                      <w:sz w:val="21"/>
                      <w:szCs w:val="21"/>
                      <w:highlight w:val="none"/>
                      <w:lang w:val="en-US" w:eastAsia="zh-CN"/>
                    </w:rPr>
                    <w:t>一般管控区</w:t>
                  </w:r>
                </w:p>
              </w:tc>
            </w:tr>
          </w:tbl>
          <w:p w14:paraId="45231F7D">
            <w:pPr>
              <w:keepNext w:val="0"/>
              <w:keepLines w:val="0"/>
              <w:pageBreakBefore w:val="0"/>
              <w:widowControl w:val="0"/>
              <w:kinsoku/>
              <w:wordWrap/>
              <w:overflowPunct/>
              <w:topLinePunct w:val="0"/>
              <w:autoSpaceDE/>
              <w:autoSpaceDN/>
              <w:bidi w:val="0"/>
              <w:adjustRightInd/>
              <w:snapToGrid/>
              <w:jc w:val="center"/>
              <w:textAlignment w:val="auto"/>
              <w:rPr>
                <w:color w:val="auto"/>
              </w:rPr>
            </w:pPr>
            <w:r>
              <w:rPr>
                <w:rFonts w:hint="eastAsia" w:ascii="Times New Roman" w:hAnsi="Times New Roman" w:eastAsia="宋体" w:cs="Times New Roman"/>
                <w:b/>
                <w:bCs/>
                <w:color w:val="auto"/>
                <w:highlight w:val="none"/>
                <w:lang w:val="en-US" w:eastAsia="zh-CN"/>
              </w:rPr>
              <w:t>续</w:t>
            </w:r>
            <w:r>
              <w:rPr>
                <w:rFonts w:hint="default" w:ascii="Times New Roman" w:hAnsi="Times New Roman" w:eastAsia="宋体" w:cs="Times New Roman"/>
                <w:b/>
                <w:bCs/>
                <w:color w:val="auto"/>
                <w:highlight w:val="none"/>
                <w:lang w:val="en-US" w:eastAsia="zh-CN"/>
              </w:rPr>
              <w:t>表1</w:t>
            </w:r>
            <w:r>
              <w:rPr>
                <w:rFonts w:hint="default" w:ascii="Times New Roman" w:hAnsi="Times New Roman" w:cs="Times New Roman" w:eastAsiaTheme="minorEastAsia"/>
                <w:b/>
                <w:bCs/>
                <w:color w:val="auto"/>
                <w:kern w:val="0"/>
                <w:szCs w:val="21"/>
              </w:rPr>
              <w:t>-</w:t>
            </w:r>
            <w:r>
              <w:rPr>
                <w:rFonts w:hint="default" w:ascii="Times New Roman" w:hAnsi="Times New Roman" w:cs="Times New Roman" w:eastAsiaTheme="minorEastAsia"/>
                <w:b/>
                <w:bCs/>
                <w:color w:val="auto"/>
                <w:kern w:val="0"/>
                <w:szCs w:val="21"/>
                <w:lang w:val="en-US" w:eastAsia="zh-CN"/>
              </w:rPr>
              <w:t>2</w:t>
            </w:r>
            <w:r>
              <w:rPr>
                <w:rFonts w:hint="default" w:ascii="Times New Roman" w:hAnsi="Times New Roman" w:eastAsia="宋体" w:cs="Times New Roman"/>
                <w:b/>
                <w:bCs/>
                <w:color w:val="auto"/>
                <w:highlight w:val="none"/>
                <w:lang w:val="en-US" w:eastAsia="zh-CN"/>
              </w:rPr>
              <w:t xml:space="preserve"> 本项目与黑龙江省生态环境分区管控成果相交情况一览表</w:t>
            </w:r>
          </w:p>
          <w:tbl>
            <w:tblPr>
              <w:tblStyle w:val="42"/>
              <w:tblW w:w="498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3" w:type="dxa"/>
                <w:bottom w:w="0" w:type="dxa"/>
                <w:right w:w="23" w:type="dxa"/>
              </w:tblCellMar>
            </w:tblPr>
            <w:tblGrid>
              <w:gridCol w:w="903"/>
              <w:gridCol w:w="1943"/>
              <w:gridCol w:w="726"/>
              <w:gridCol w:w="1236"/>
              <w:gridCol w:w="1029"/>
              <w:gridCol w:w="1719"/>
            </w:tblGrid>
            <w:tr w14:paraId="4D0653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634" w:hRule="atLeast"/>
                <w:jc w:val="center"/>
              </w:trPr>
              <w:tc>
                <w:tcPr>
                  <w:tcW w:w="597" w:type="pct"/>
                  <w:vMerge w:val="restart"/>
                  <w:tcBorders>
                    <w:tl2br w:val="nil"/>
                    <w:tr2bl w:val="nil"/>
                  </w:tcBorders>
                  <w:tcMar>
                    <w:top w:w="15" w:type="dxa"/>
                    <w:left w:w="108" w:type="dxa"/>
                    <w:bottom w:w="15" w:type="dxa"/>
                    <w:right w:w="108" w:type="dxa"/>
                  </w:tcMar>
                  <w:vAlign w:val="center"/>
                </w:tcPr>
                <w:p w14:paraId="72F3F4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环境管控单元</w:t>
                  </w:r>
                </w:p>
              </w:tc>
              <w:tc>
                <w:tcPr>
                  <w:tcW w:w="1285" w:type="pct"/>
                  <w:tcBorders>
                    <w:tl2br w:val="nil"/>
                    <w:tr2bl w:val="nil"/>
                  </w:tcBorders>
                  <w:tcMar>
                    <w:top w:w="15" w:type="dxa"/>
                    <w:left w:w="108" w:type="dxa"/>
                    <w:bottom w:w="15" w:type="dxa"/>
                    <w:right w:w="108" w:type="dxa"/>
                  </w:tcMar>
                  <w:vAlign w:val="center"/>
                </w:tcPr>
                <w:p w14:paraId="03CB7D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重点管控单元</w:t>
                  </w:r>
                </w:p>
              </w:tc>
              <w:tc>
                <w:tcPr>
                  <w:tcW w:w="480" w:type="pct"/>
                  <w:tcBorders>
                    <w:tl2br w:val="nil"/>
                    <w:tr2bl w:val="nil"/>
                  </w:tcBorders>
                  <w:tcMar>
                    <w:top w:w="15" w:type="dxa"/>
                    <w:left w:w="108" w:type="dxa"/>
                    <w:bottom w:w="15" w:type="dxa"/>
                    <w:right w:w="108" w:type="dxa"/>
                  </w:tcMar>
                  <w:vAlign w:val="center"/>
                </w:tcPr>
                <w:p w14:paraId="4AD958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是</w:t>
                  </w:r>
                </w:p>
              </w:tc>
              <w:tc>
                <w:tcPr>
                  <w:tcW w:w="817" w:type="pct"/>
                  <w:tcBorders>
                    <w:tl2br w:val="nil"/>
                    <w:tr2bl w:val="nil"/>
                  </w:tcBorders>
                  <w:tcMar>
                    <w:top w:w="15" w:type="dxa"/>
                    <w:left w:w="108" w:type="dxa"/>
                    <w:bottom w:w="15" w:type="dxa"/>
                    <w:right w:w="108" w:type="dxa"/>
                  </w:tcMar>
                  <w:vAlign w:val="center"/>
                </w:tcPr>
                <w:p w14:paraId="68DEB3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伊春</w:t>
                  </w:r>
                  <w:r>
                    <w:rPr>
                      <w:rFonts w:hint="default" w:ascii="Times New Roman" w:hAnsi="Times New Roman" w:cs="Times New Roman"/>
                      <w:color w:val="auto"/>
                      <w:sz w:val="21"/>
                      <w:szCs w:val="21"/>
                      <w:highlight w:val="none"/>
                    </w:rPr>
                    <w:t>市</w:t>
                  </w:r>
                </w:p>
              </w:tc>
              <w:tc>
                <w:tcPr>
                  <w:tcW w:w="680" w:type="pct"/>
                  <w:tcBorders>
                    <w:tl2br w:val="nil"/>
                    <w:tr2bl w:val="nil"/>
                  </w:tcBorders>
                  <w:tcMar>
                    <w:top w:w="15" w:type="dxa"/>
                    <w:left w:w="108" w:type="dxa"/>
                    <w:bottom w:w="15" w:type="dxa"/>
                    <w:right w:w="108" w:type="dxa"/>
                  </w:tcMar>
                  <w:vAlign w:val="center"/>
                </w:tcPr>
                <w:p w14:paraId="39DDF9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铁力市</w:t>
                  </w:r>
                </w:p>
              </w:tc>
              <w:tc>
                <w:tcPr>
                  <w:tcW w:w="1137" w:type="pct"/>
                  <w:tcBorders>
                    <w:tl2br w:val="nil"/>
                    <w:tr2bl w:val="nil"/>
                  </w:tcBorders>
                  <w:tcMar>
                    <w:top w:w="15" w:type="dxa"/>
                    <w:left w:w="108" w:type="dxa"/>
                    <w:bottom w:w="15" w:type="dxa"/>
                    <w:right w:w="108" w:type="dxa"/>
                  </w:tcMar>
                  <w:vAlign w:val="center"/>
                </w:tcPr>
                <w:p w14:paraId="511F90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铁力市城镇空间</w:t>
                  </w:r>
                </w:p>
              </w:tc>
            </w:tr>
            <w:tr w14:paraId="4D6586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3" w:type="dxa"/>
                  <w:bottom w:w="0" w:type="dxa"/>
                  <w:right w:w="23" w:type="dxa"/>
                </w:tblCellMar>
              </w:tblPrEx>
              <w:trPr>
                <w:trHeight w:val="634" w:hRule="atLeast"/>
                <w:jc w:val="center"/>
              </w:trPr>
              <w:tc>
                <w:tcPr>
                  <w:tcW w:w="597" w:type="pct"/>
                  <w:vMerge w:val="continue"/>
                  <w:tcBorders>
                    <w:tl2br w:val="nil"/>
                    <w:tr2bl w:val="nil"/>
                  </w:tcBorders>
                  <w:tcMar>
                    <w:top w:w="15" w:type="dxa"/>
                    <w:left w:w="108" w:type="dxa"/>
                    <w:bottom w:w="15" w:type="dxa"/>
                    <w:right w:w="108" w:type="dxa"/>
                  </w:tcMar>
                  <w:vAlign w:val="center"/>
                </w:tcPr>
                <w:p w14:paraId="7763D0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cs="Times New Roman"/>
                      <w:color w:val="auto"/>
                      <w:sz w:val="21"/>
                      <w:szCs w:val="21"/>
                      <w:highlight w:val="none"/>
                      <w:lang w:val="zh-CN"/>
                    </w:rPr>
                  </w:pPr>
                </w:p>
              </w:tc>
              <w:tc>
                <w:tcPr>
                  <w:tcW w:w="1285" w:type="pct"/>
                  <w:tcBorders>
                    <w:tl2br w:val="nil"/>
                    <w:tr2bl w:val="nil"/>
                  </w:tcBorders>
                  <w:tcMar>
                    <w:top w:w="15" w:type="dxa"/>
                    <w:left w:w="108" w:type="dxa"/>
                    <w:bottom w:w="15" w:type="dxa"/>
                    <w:right w:w="108" w:type="dxa"/>
                  </w:tcMar>
                  <w:vAlign w:val="center"/>
                </w:tcPr>
                <w:p w14:paraId="6F108C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一般管控单元</w:t>
                  </w:r>
                </w:p>
              </w:tc>
              <w:tc>
                <w:tcPr>
                  <w:tcW w:w="480" w:type="pct"/>
                  <w:tcBorders>
                    <w:tl2br w:val="nil"/>
                    <w:tr2bl w:val="nil"/>
                  </w:tcBorders>
                  <w:tcMar>
                    <w:top w:w="15" w:type="dxa"/>
                    <w:left w:w="108" w:type="dxa"/>
                    <w:bottom w:w="15" w:type="dxa"/>
                    <w:right w:w="108" w:type="dxa"/>
                  </w:tcMar>
                  <w:vAlign w:val="center"/>
                </w:tcPr>
                <w:p w14:paraId="7FE5F5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是</w:t>
                  </w:r>
                </w:p>
              </w:tc>
              <w:tc>
                <w:tcPr>
                  <w:tcW w:w="817" w:type="pct"/>
                  <w:tcBorders>
                    <w:tl2br w:val="nil"/>
                    <w:tr2bl w:val="nil"/>
                  </w:tcBorders>
                  <w:shd w:val="clear" w:color="auto" w:fill="auto"/>
                  <w:tcMar>
                    <w:top w:w="15" w:type="dxa"/>
                    <w:left w:w="108" w:type="dxa"/>
                    <w:bottom w:w="15" w:type="dxa"/>
                    <w:right w:w="108" w:type="dxa"/>
                  </w:tcMar>
                  <w:vAlign w:val="center"/>
                </w:tcPr>
                <w:p w14:paraId="253A8B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伊春</w:t>
                  </w:r>
                  <w:r>
                    <w:rPr>
                      <w:rFonts w:hint="default" w:ascii="Times New Roman" w:hAnsi="Times New Roman" w:cs="Times New Roman"/>
                      <w:color w:val="auto"/>
                      <w:sz w:val="21"/>
                      <w:szCs w:val="21"/>
                      <w:highlight w:val="none"/>
                    </w:rPr>
                    <w:t>市</w:t>
                  </w:r>
                </w:p>
              </w:tc>
              <w:tc>
                <w:tcPr>
                  <w:tcW w:w="680" w:type="pct"/>
                  <w:tcBorders>
                    <w:tl2br w:val="nil"/>
                    <w:tr2bl w:val="nil"/>
                  </w:tcBorders>
                  <w:shd w:val="clear" w:color="auto" w:fill="auto"/>
                  <w:tcMar>
                    <w:top w:w="15" w:type="dxa"/>
                    <w:left w:w="108" w:type="dxa"/>
                    <w:bottom w:w="15" w:type="dxa"/>
                    <w:right w:w="108" w:type="dxa"/>
                  </w:tcMar>
                  <w:vAlign w:val="center"/>
                </w:tcPr>
                <w:p w14:paraId="582E4E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铁力市</w:t>
                  </w:r>
                </w:p>
              </w:tc>
              <w:tc>
                <w:tcPr>
                  <w:tcW w:w="1137" w:type="pct"/>
                  <w:tcBorders>
                    <w:tl2br w:val="nil"/>
                    <w:tr2bl w:val="nil"/>
                  </w:tcBorders>
                  <w:tcMar>
                    <w:top w:w="15" w:type="dxa"/>
                    <w:left w:w="108" w:type="dxa"/>
                    <w:bottom w:w="15" w:type="dxa"/>
                    <w:right w:w="108" w:type="dxa"/>
                  </w:tcMar>
                  <w:vAlign w:val="center"/>
                </w:tcPr>
                <w:p w14:paraId="32B75A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铁力市其他区域</w:t>
                  </w:r>
                </w:p>
              </w:tc>
            </w:tr>
          </w:tbl>
          <w:p w14:paraId="6241B8DC">
            <w:pPr>
              <w:pStyle w:val="6"/>
              <w:keepNext w:val="0"/>
              <w:keepLines w:val="0"/>
              <w:pageBreakBefore w:val="0"/>
              <w:kinsoku/>
              <w:wordWrap/>
              <w:overflowPunct/>
              <w:topLinePunct w:val="0"/>
              <w:bidi w:val="0"/>
              <w:spacing w:line="360" w:lineRule="auto"/>
              <w:ind w:left="118" w:leftChars="56" w:firstLine="207" w:firstLineChars="98"/>
              <w:textAlignment w:val="auto"/>
              <w:rPr>
                <w:rFonts w:hint="default" w:ascii="Times New Roman" w:hAnsi="Times New Roman" w:cs="Times New Roman" w:eastAsiaTheme="minorEastAsia"/>
                <w:color w:val="auto"/>
                <w:szCs w:val="21"/>
              </w:rPr>
            </w:pPr>
            <w:r>
              <w:rPr>
                <w:rFonts w:hint="default" w:ascii="Times New Roman" w:hAnsi="Times New Roman" w:cs="Times New Roman" w:eastAsiaTheme="minorEastAsia"/>
                <w:b/>
                <w:color w:val="auto"/>
                <w:kern w:val="0"/>
                <w:szCs w:val="21"/>
              </w:rPr>
              <w:t>（1）生态保护红线</w:t>
            </w:r>
          </w:p>
          <w:p w14:paraId="3BECCD2E">
            <w:pPr>
              <w:keepNext w:val="0"/>
              <w:keepLines w:val="0"/>
              <w:pageBreakBefore w:val="0"/>
              <w:kinsoku/>
              <w:wordWrap/>
              <w:overflowPunct/>
              <w:topLinePunct w:val="0"/>
              <w:bidi w:val="0"/>
              <w:spacing w:line="360" w:lineRule="auto"/>
              <w:ind w:firstLine="420" w:firstLineChars="200"/>
              <w:textAlignment w:val="auto"/>
              <w:rPr>
                <w:rFonts w:hint="default" w:ascii="Times New Roman" w:hAnsi="Times New Roman" w:eastAsia="宋体" w:cs="Times New Roman"/>
                <w:color w:val="auto"/>
                <w:szCs w:val="21"/>
              </w:rPr>
            </w:pPr>
            <w:r>
              <w:rPr>
                <w:rFonts w:hint="default" w:ascii="Times New Roman" w:hAnsi="Times New Roman" w:cs="Times New Roman" w:eastAsiaTheme="minorEastAsia"/>
                <w:color w:val="auto"/>
                <w:szCs w:val="21"/>
              </w:rPr>
              <w:t>根据《</w:t>
            </w:r>
            <w:r>
              <w:rPr>
                <w:rFonts w:hint="eastAsia" w:ascii="Times New Roman" w:hAnsi="Times New Roman" w:eastAsia="宋体" w:cstheme="minorEastAsia"/>
                <w:color w:val="auto"/>
                <w:sz w:val="21"/>
                <w:szCs w:val="24"/>
                <w:u w:val="none"/>
              </w:rPr>
              <w:t>铁力市红博农资销售有限责任公司</w:t>
            </w:r>
            <w:r>
              <w:rPr>
                <w:rFonts w:hint="eastAsia" w:ascii="Times New Roman" w:hAnsi="Times New Roman" w:eastAsia="宋体" w:cstheme="minorEastAsia"/>
                <w:color w:val="auto"/>
                <w:sz w:val="21"/>
                <w:szCs w:val="24"/>
                <w:u w:val="none"/>
                <w:lang w:val="en-US" w:eastAsia="zh-CN"/>
              </w:rPr>
              <w:t>生物质锅炉建设项目</w:t>
            </w:r>
            <w:r>
              <w:rPr>
                <w:rFonts w:hint="default" w:ascii="Times New Roman" w:hAnsi="Times New Roman" w:cs="Times New Roman" w:eastAsiaTheme="minorEastAsia"/>
                <w:color w:val="auto"/>
                <w:szCs w:val="21"/>
              </w:rPr>
              <w:t>生态环境分区管控分析报告》，本项目</w:t>
            </w:r>
            <w:r>
              <w:rPr>
                <w:rFonts w:hint="default" w:ascii="Times New Roman" w:hAnsi="Times New Roman" w:eastAsia="宋体" w:cs="Times New Roman"/>
                <w:color w:val="auto"/>
                <w:szCs w:val="21"/>
              </w:rPr>
              <w:t>与生态保护红线无交集。</w:t>
            </w:r>
          </w:p>
          <w:p w14:paraId="2988CA3A">
            <w:pPr>
              <w:keepNext w:val="0"/>
              <w:keepLines w:val="0"/>
              <w:pageBreakBefore w:val="0"/>
              <w:tabs>
                <w:tab w:val="left" w:pos="1470"/>
                <w:tab w:val="center" w:pos="4633"/>
              </w:tabs>
              <w:kinsoku/>
              <w:wordWrap/>
              <w:overflowPunct/>
              <w:topLinePunct w:val="0"/>
              <w:bidi w:val="0"/>
              <w:spacing w:line="360" w:lineRule="auto"/>
              <w:jc w:val="center"/>
              <w:textAlignment w:val="auto"/>
              <w:rPr>
                <w:rFonts w:hint="eastAsia" w:ascii="Times New Roman" w:hAnsi="Times New Roman" w:eastAsia="宋体" w:cs="Times New Roman"/>
                <w:b/>
                <w:color w:val="auto"/>
                <w:szCs w:val="21"/>
                <w:lang w:eastAsia="zh-CN"/>
              </w:rPr>
            </w:pPr>
            <w:r>
              <w:rPr>
                <w:rFonts w:hint="eastAsia" w:ascii="Times New Roman" w:hAnsi="Times New Roman" w:cs="Times New Roman" w:eastAsiaTheme="minorEastAsia"/>
                <w:b/>
                <w:color w:val="auto"/>
                <w:kern w:val="0"/>
                <w:szCs w:val="21"/>
                <w:lang w:eastAsia="zh-CN"/>
              </w:rPr>
              <w:drawing>
                <wp:anchor distT="0" distB="0" distL="114300" distR="114300" simplePos="0" relativeHeight="251675648" behindDoc="0" locked="0" layoutInCell="1" allowOverlap="1">
                  <wp:simplePos x="0" y="0"/>
                  <wp:positionH relativeFrom="column">
                    <wp:posOffset>4104005</wp:posOffset>
                  </wp:positionH>
                  <wp:positionV relativeFrom="paragraph">
                    <wp:posOffset>15875</wp:posOffset>
                  </wp:positionV>
                  <wp:extent cx="704850" cy="679450"/>
                  <wp:effectExtent l="0" t="0" r="0" b="6350"/>
                  <wp:wrapNone/>
                  <wp:docPr id="122" name="图片 12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descr="图片2"/>
                          <pic:cNvPicPr>
                            <a:picLocks noChangeAspect="1"/>
                          </pic:cNvPicPr>
                        </pic:nvPicPr>
                        <pic:blipFill>
                          <a:blip r:embed="rId13"/>
                          <a:stretch>
                            <a:fillRect/>
                          </a:stretch>
                        </pic:blipFill>
                        <pic:spPr>
                          <a:xfrm>
                            <a:off x="0" y="0"/>
                            <a:ext cx="704850" cy="679450"/>
                          </a:xfrm>
                          <a:prstGeom prst="rect">
                            <a:avLst/>
                          </a:prstGeom>
                        </pic:spPr>
                      </pic:pic>
                    </a:graphicData>
                  </a:graphic>
                </wp:anchor>
              </w:drawing>
            </w:r>
            <w:r>
              <w:rPr>
                <w:color w:val="auto"/>
                <w:sz w:val="21"/>
              </w:rPr>
              <mc:AlternateContent>
                <mc:Choice Requires="wps">
                  <w:drawing>
                    <wp:anchor distT="0" distB="0" distL="114300" distR="114300" simplePos="0" relativeHeight="251687936" behindDoc="0" locked="0" layoutInCell="1" allowOverlap="1">
                      <wp:simplePos x="0" y="0"/>
                      <wp:positionH relativeFrom="column">
                        <wp:posOffset>1534795</wp:posOffset>
                      </wp:positionH>
                      <wp:positionV relativeFrom="paragraph">
                        <wp:posOffset>2611120</wp:posOffset>
                      </wp:positionV>
                      <wp:extent cx="222250" cy="127000"/>
                      <wp:effectExtent l="12700" t="12700" r="12700" b="12700"/>
                      <wp:wrapNone/>
                      <wp:docPr id="6" name="矩形 6"/>
                      <wp:cNvGraphicFramePr/>
                      <a:graphic xmlns:a="http://schemas.openxmlformats.org/drawingml/2006/main">
                        <a:graphicData uri="http://schemas.microsoft.com/office/word/2010/wordprocessingShape">
                          <wps:wsp>
                            <wps:cNvSpPr/>
                            <wps:spPr>
                              <a:xfrm>
                                <a:off x="3180715" y="5535930"/>
                                <a:ext cx="222250" cy="127000"/>
                              </a:xfrm>
                              <a:prstGeom prst="rect">
                                <a:avLst/>
                              </a:prstGeom>
                              <a:solidFill>
                                <a:srgbClr val="26730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0.85pt;margin-top:205.6pt;height:10pt;width:17.5pt;z-index:251687936;v-text-anchor:middle;mso-width-relative:page;mso-height-relative:page;" fillcolor="#267301" filled="t" stroked="t" coordsize="21600,21600" o:gfxdata="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RM1Dt9kAAAALAQAADwAAAAAAAAABACAAAAAiAAAAZHJz&#10;L2Rvd25yZXYueG1sUEsBAhQAFAAAAAgAh07iQM8VBwp1AgAA6AQAAA4AAAAAAAAAAQAgAAAAKAEA&#10;AGRycy9lMm9Eb2MueG1sUEsFBgAAAAAGAAYAWQEAAA8GAAAAAA==&#10;">
                      <v:fill on="t" focussize="0,0"/>
                      <v:stroke weight="2pt" color="#FF0000 [3204]" joinstyle="round"/>
                      <v:imagedata o:title=""/>
                      <o:lock v:ext="edit" aspectratio="f"/>
                    </v:rect>
                  </w:pict>
                </mc:Fallback>
              </mc:AlternateContent>
            </w:r>
            <w:r>
              <w:rPr>
                <w:rFonts w:hint="eastAsia" w:ascii="Times New Roman" w:hAnsi="Times New Roman" w:cs="Times New Roman" w:eastAsiaTheme="minorEastAsia"/>
                <w:b/>
                <w:color w:val="auto"/>
                <w:kern w:val="0"/>
                <w:szCs w:val="21"/>
                <w:lang w:eastAsia="zh-CN"/>
              </w:rPr>
              <w:drawing>
                <wp:anchor distT="0" distB="0" distL="114300" distR="114300" simplePos="0" relativeHeight="251674624" behindDoc="0" locked="0" layoutInCell="1" allowOverlap="1">
                  <wp:simplePos x="0" y="0"/>
                  <wp:positionH relativeFrom="column">
                    <wp:posOffset>1520825</wp:posOffset>
                  </wp:positionH>
                  <wp:positionV relativeFrom="paragraph">
                    <wp:posOffset>2378075</wp:posOffset>
                  </wp:positionV>
                  <wp:extent cx="236855" cy="142875"/>
                  <wp:effectExtent l="0" t="0" r="10795" b="9525"/>
                  <wp:wrapNone/>
                  <wp:docPr id="121" name="图片 121" descr="1761272987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descr="1761272987775"/>
                          <pic:cNvPicPr>
                            <a:picLocks noChangeAspect="1"/>
                          </pic:cNvPicPr>
                        </pic:nvPicPr>
                        <pic:blipFill>
                          <a:blip r:embed="rId14"/>
                          <a:stretch>
                            <a:fillRect/>
                          </a:stretch>
                        </pic:blipFill>
                        <pic:spPr>
                          <a:xfrm>
                            <a:off x="0" y="0"/>
                            <a:ext cx="236855" cy="142875"/>
                          </a:xfrm>
                          <a:prstGeom prst="rect">
                            <a:avLst/>
                          </a:prstGeom>
                        </pic:spPr>
                      </pic:pic>
                    </a:graphicData>
                  </a:graphic>
                </wp:anchor>
              </w:drawing>
            </w:r>
            <w:r>
              <w:rPr>
                <w:color w:val="auto"/>
                <w:sz w:val="21"/>
              </w:rPr>
              <mc:AlternateContent>
                <mc:Choice Requires="wps">
                  <w:drawing>
                    <wp:anchor distT="0" distB="0" distL="114300" distR="114300" simplePos="0" relativeHeight="251673600" behindDoc="0" locked="0" layoutInCell="1" allowOverlap="1">
                      <wp:simplePos x="0" y="0"/>
                      <wp:positionH relativeFrom="column">
                        <wp:posOffset>543560</wp:posOffset>
                      </wp:positionH>
                      <wp:positionV relativeFrom="paragraph">
                        <wp:posOffset>2164715</wp:posOffset>
                      </wp:positionV>
                      <wp:extent cx="1414780" cy="605155"/>
                      <wp:effectExtent l="4445" t="4445" r="9525" b="19050"/>
                      <wp:wrapNone/>
                      <wp:docPr id="119" name="文本框 119"/>
                      <wp:cNvGraphicFramePr/>
                      <a:graphic xmlns:a="http://schemas.openxmlformats.org/drawingml/2006/main">
                        <a:graphicData uri="http://schemas.microsoft.com/office/word/2010/wordprocessingShape">
                          <wps:wsp>
                            <wps:cNvSpPr txBox="1"/>
                            <wps:spPr>
                              <a:xfrm>
                                <a:off x="1884680" y="6670040"/>
                                <a:ext cx="1414780" cy="60515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FEE775C">
                                  <w:pPr>
                                    <w:rPr>
                                      <w:rFonts w:hint="eastAsia"/>
                                      <w:lang w:val="en-US" w:eastAsia="zh-CN"/>
                                    </w:rPr>
                                  </w:pPr>
                                  <w:r>
                                    <w:rPr>
                                      <w:rFonts w:hint="eastAsia"/>
                                      <w:lang w:val="en-US" w:eastAsia="zh-CN"/>
                                    </w:rPr>
                                    <w:t>图例</w:t>
                                  </w:r>
                                </w:p>
                                <w:p w14:paraId="1932428E">
                                  <w:pPr>
                                    <w:rPr>
                                      <w:rFonts w:hint="eastAsia"/>
                                      <w:lang w:val="en-US" w:eastAsia="zh-CN"/>
                                    </w:rPr>
                                  </w:pPr>
                                  <w:r>
                                    <w:rPr>
                                      <w:rFonts w:hint="eastAsia"/>
                                      <w:lang w:val="en-US" w:eastAsia="zh-CN"/>
                                    </w:rPr>
                                    <w:t>一般生态空间</w:t>
                                  </w:r>
                                </w:p>
                                <w:p w14:paraId="07B27518">
                                  <w:pPr>
                                    <w:rPr>
                                      <w:rFonts w:hint="default"/>
                                      <w:lang w:val="en-US" w:eastAsia="zh-CN"/>
                                    </w:rPr>
                                  </w:pPr>
                                  <w:r>
                                    <w:rPr>
                                      <w:rFonts w:hint="eastAsia"/>
                                      <w:lang w:val="en-US" w:eastAsia="zh-CN"/>
                                    </w:rPr>
                                    <w:t>生态保护红线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8pt;margin-top:170.45pt;height:47.65pt;width:111.4pt;z-index:251673600;mso-width-relative:page;mso-height-relative:page;" fillcolor="#FFFFFF [3201]" filled="t" stroked="t" coordsize="21600,21600" o:gfxdata="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GPjvZNcAAAAKAQAADwAAAAAAAAABACAAAAAiAAAAZHJzL2Rvd25yZXYueG1sUEsBAhQAFAAA&#10;AAgAh07iQE/1bEZiAgAAxwQAAA4AAAAAAAAAAQAgAAAAJgEAAGRycy9lMm9Eb2MueG1sUEsFBgAA&#10;AAAGAAYAWQEAAPoFAAAAAA==&#10;">
                      <v:fill on="t" focussize="0,0"/>
                      <v:stroke weight="0.5pt" color="#000000 [3204]" joinstyle="round"/>
                      <v:imagedata o:title=""/>
                      <o:lock v:ext="edit" aspectratio="f"/>
                      <v:textbox>
                        <w:txbxContent>
                          <w:p w14:paraId="6FEE775C">
                            <w:pPr>
                              <w:rPr>
                                <w:rFonts w:hint="eastAsia"/>
                                <w:lang w:val="en-US" w:eastAsia="zh-CN"/>
                              </w:rPr>
                            </w:pPr>
                            <w:r>
                              <w:rPr>
                                <w:rFonts w:hint="eastAsia"/>
                                <w:lang w:val="en-US" w:eastAsia="zh-CN"/>
                              </w:rPr>
                              <w:t>图例</w:t>
                            </w:r>
                          </w:p>
                          <w:p w14:paraId="1932428E">
                            <w:pPr>
                              <w:rPr>
                                <w:rFonts w:hint="eastAsia"/>
                                <w:lang w:val="en-US" w:eastAsia="zh-CN"/>
                              </w:rPr>
                            </w:pPr>
                            <w:r>
                              <w:rPr>
                                <w:rFonts w:hint="eastAsia"/>
                                <w:lang w:val="en-US" w:eastAsia="zh-CN"/>
                              </w:rPr>
                              <w:t>一般生态空间</w:t>
                            </w:r>
                          </w:p>
                          <w:p w14:paraId="07B27518">
                            <w:pPr>
                              <w:rPr>
                                <w:rFonts w:hint="default"/>
                                <w:lang w:val="en-US" w:eastAsia="zh-CN"/>
                              </w:rPr>
                            </w:pPr>
                            <w:r>
                              <w:rPr>
                                <w:rFonts w:hint="eastAsia"/>
                                <w:lang w:val="en-US" w:eastAsia="zh-CN"/>
                              </w:rPr>
                              <w:t>生态保护红线</w:t>
                            </w:r>
                          </w:p>
                        </w:txbxContent>
                      </v:textbox>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1833880</wp:posOffset>
                      </wp:positionH>
                      <wp:positionV relativeFrom="paragraph">
                        <wp:posOffset>1211580</wp:posOffset>
                      </wp:positionV>
                      <wp:extent cx="969010" cy="285750"/>
                      <wp:effectExtent l="0" t="0" r="0" b="0"/>
                      <wp:wrapNone/>
                      <wp:docPr id="114" name="文本框 114"/>
                      <wp:cNvGraphicFramePr/>
                      <a:graphic xmlns:a="http://schemas.openxmlformats.org/drawingml/2006/main">
                        <a:graphicData uri="http://schemas.microsoft.com/office/word/2010/wordprocessingShape">
                          <wps:wsp>
                            <wps:cNvSpPr txBox="1"/>
                            <wps:spPr>
                              <a:xfrm>
                                <a:off x="4271645" y="6062980"/>
                                <a:ext cx="969010" cy="285750"/>
                              </a:xfrm>
                              <a:prstGeom prst="rect">
                                <a:avLst/>
                              </a:prstGeom>
                              <a:noFill/>
                              <a:ln w="6350">
                                <a:noFill/>
                              </a:ln>
                              <a:effectLst/>
                            </wps:spPr>
                            <wps:txbx>
                              <w:txbxContent>
                                <w:p w14:paraId="74032C5C">
                                  <w:pPr>
                                    <w:rPr>
                                      <w:color w:val="FF0000"/>
                                    </w:rPr>
                                  </w:pPr>
                                  <w:r>
                                    <w:rPr>
                                      <w:rFonts w:hint="eastAsia"/>
                                      <w:color w:val="FF0000"/>
                                    </w:rPr>
                                    <w:t>本项目位置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4.4pt;margin-top:95.4pt;height:22.5pt;width:76.3pt;z-index:251672576;mso-width-relative:page;mso-height-relative:page;" filled="f" stroked="f" coordsize="21600,21600" o:gfxdata="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DQs5BPaAAAACwEAAA8AAAAA&#10;AAAAAQAgAAAAIgAAAGRycy9kb3ducmV2LnhtbFBLAQIUABQAAAAIAIdO4kAWVPbuSwIAAIMEAAAO&#10;AAAAAAAAAAEAIAAAACkBAABkcnMvZTJvRG9jLnhtbFBLBQYAAAAABgAGAFkBAADmBQAAAAA=&#10;">
                      <v:fill on="f" focussize="0,0"/>
                      <v:stroke on="f" weight="0.5pt"/>
                      <v:imagedata o:title=""/>
                      <o:lock v:ext="edit" aspectratio="f"/>
                      <v:textbox>
                        <w:txbxContent>
                          <w:p w14:paraId="74032C5C">
                            <w:pPr>
                              <w:rPr>
                                <w:color w:val="FF0000"/>
                              </w:rPr>
                            </w:pPr>
                            <w:r>
                              <w:rPr>
                                <w:rFonts w:hint="eastAsia"/>
                                <w:color w:val="FF0000"/>
                              </w:rPr>
                              <w:t>本项目位置</w:t>
                            </w:r>
                          </w:p>
                        </w:txbxContent>
                      </v:textbox>
                    </v:shape>
                  </w:pict>
                </mc:Fallback>
              </mc:AlternateContent>
            </w:r>
            <w:r>
              <w:rPr>
                <w:rFonts w:hint="default" w:ascii="Times New Roman" w:hAnsi="Times New Roman" w:cs="Times New Roman"/>
                <w:color w:val="auto"/>
                <w:highlight w:val="none"/>
              </w:rPr>
              <w:drawing>
                <wp:inline distT="0" distB="0" distL="114300" distR="114300">
                  <wp:extent cx="4812030" cy="2786380"/>
                  <wp:effectExtent l="9525" t="9525" r="17145" b="23495"/>
                  <wp:docPr id="1" name="图片 1" descr="1761787366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61787366758"/>
                          <pic:cNvPicPr>
                            <a:picLocks noChangeAspect="1"/>
                          </pic:cNvPicPr>
                        </pic:nvPicPr>
                        <pic:blipFill>
                          <a:blip r:embed="rId15"/>
                          <a:srcRect t="14180"/>
                          <a:stretch>
                            <a:fillRect/>
                          </a:stretch>
                        </pic:blipFill>
                        <pic:spPr>
                          <a:xfrm>
                            <a:off x="0" y="0"/>
                            <a:ext cx="4812030" cy="2786380"/>
                          </a:xfrm>
                          <a:prstGeom prst="rect">
                            <a:avLst/>
                          </a:prstGeom>
                          <a:ln>
                            <a:solidFill>
                              <a:schemeClr val="tx1"/>
                            </a:solidFill>
                          </a:ln>
                        </pic:spPr>
                      </pic:pic>
                    </a:graphicData>
                  </a:graphic>
                </wp:inline>
              </w:drawing>
            </w:r>
            <w:r>
              <w:rPr>
                <w:rFonts w:hint="default" w:ascii="Times New Roman" w:hAnsi="Times New Roman" w:cs="Times New Roman"/>
                <w:color w:val="auto"/>
                <w:highlight w:val="none"/>
              </w:rPr>
              <mc:AlternateContent>
                <mc:Choice Requires="wps">
                  <w:drawing>
                    <wp:anchor distT="0" distB="0" distL="114300" distR="114300" simplePos="0" relativeHeight="251671552" behindDoc="0" locked="0" layoutInCell="1" allowOverlap="1">
                      <wp:simplePos x="0" y="0"/>
                      <wp:positionH relativeFrom="column">
                        <wp:posOffset>1771015</wp:posOffset>
                      </wp:positionH>
                      <wp:positionV relativeFrom="paragraph">
                        <wp:posOffset>851535</wp:posOffset>
                      </wp:positionV>
                      <wp:extent cx="381000" cy="307340"/>
                      <wp:effectExtent l="0" t="0" r="19050" b="16510"/>
                      <wp:wrapNone/>
                      <wp:docPr id="115" name="直接箭头连接符 115"/>
                      <wp:cNvGraphicFramePr/>
                      <a:graphic xmlns:a="http://schemas.openxmlformats.org/drawingml/2006/main">
                        <a:graphicData uri="http://schemas.microsoft.com/office/word/2010/wordprocessingShape">
                          <wps:wsp>
                            <wps:cNvCnPr/>
                            <wps:spPr>
                              <a:xfrm flipH="1" flipV="1">
                                <a:off x="3650615" y="6200140"/>
                                <a:ext cx="381000" cy="307340"/>
                              </a:xfrm>
                              <a:prstGeom prst="straightConnector1">
                                <a:avLst/>
                              </a:prstGeom>
                              <a:ln w="25400" cap="flat" cmpd="sng">
                                <a:solidFill>
                                  <a:srgbClr val="FF0000"/>
                                </a:solidFill>
                                <a:prstDash val="solid"/>
                                <a:round/>
                                <a:headEnd type="none" w="med" len="med"/>
                                <a:tailEnd type="arrow" w="med" len="med"/>
                              </a:ln>
                              <a:effectLst/>
                            </wps:spPr>
                            <wps:bodyPr/>
                          </wps:wsp>
                        </a:graphicData>
                      </a:graphic>
                    </wp:anchor>
                  </w:drawing>
                </mc:Choice>
                <mc:Fallback>
                  <w:pict>
                    <v:shape id="_x0000_s1026" o:spid="_x0000_s1026" o:spt="32" type="#_x0000_t32" style="position:absolute;left:0pt;flip:x y;margin-left:139.45pt;margin-top:67.05pt;height:24.2pt;width:30pt;z-index:251671552;mso-width-relative:page;mso-height-relative:page;" filled="f" stroked="t" coordsize="21600,21600" o:gfxdata="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0dLiU2AAAAAsBAAAPAAAAAAAAAAEAIAAAACIAAABkcnMvZG93bnJldi54bWxQSwECFAAU&#10;AAAACACHTuJAIVs4eCoCAAAuBAAADgAAAAAAAAABACAAAAAnAQAAZHJzL2Uyb0RvYy54bWxQSwUG&#10;AAAAAAYABgBZAQAAwwUAAAAA&#10;">
                      <v:fill on="f" focussize="0,0"/>
                      <v:stroke weight="2pt" color="#FF0000" joinstyle="round" endarrow="open"/>
                      <v:imagedata o:title=""/>
                      <o:lock v:ext="edit" aspectratio="f"/>
                    </v:shape>
                  </w:pict>
                </mc:Fallback>
              </mc:AlternateContent>
            </w:r>
          </w:p>
          <w:p w14:paraId="1B50F897">
            <w:pPr>
              <w:pStyle w:val="4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b/>
                <w:color w:val="auto"/>
                <w:kern w:val="2"/>
                <w:sz w:val="21"/>
                <w:szCs w:val="21"/>
                <w:lang w:val="en-US" w:eastAsia="zh-CN" w:bidi="ar-SA"/>
              </w:rPr>
            </w:pPr>
            <w:r>
              <w:rPr>
                <w:rFonts w:hint="default" w:ascii="Times New Roman" w:hAnsi="Times New Roman" w:cs="Times New Roman" w:eastAsiaTheme="minorEastAsia"/>
                <w:b/>
                <w:color w:val="auto"/>
                <w:kern w:val="2"/>
                <w:sz w:val="21"/>
                <w:szCs w:val="21"/>
                <w:lang w:val="en-US" w:eastAsia="zh-CN" w:bidi="ar-SA"/>
              </w:rPr>
              <w:t>图1-1 本项目与生态保护红线位置关系图</w:t>
            </w:r>
          </w:p>
          <w:p w14:paraId="19FDC18F">
            <w:pPr>
              <w:keepNext w:val="0"/>
              <w:keepLines w:val="0"/>
              <w:pageBreakBefore w:val="0"/>
              <w:kinsoku/>
              <w:wordWrap/>
              <w:overflowPunct/>
              <w:topLinePunct w:val="0"/>
              <w:bidi w:val="0"/>
              <w:spacing w:line="360" w:lineRule="auto"/>
              <w:ind w:firstLine="422" w:firstLineChars="200"/>
              <w:jc w:val="left"/>
              <w:textAlignment w:val="auto"/>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（2）环境质量底线</w:t>
            </w:r>
          </w:p>
          <w:p w14:paraId="1EA59AE8">
            <w:pPr>
              <w:pStyle w:val="124"/>
              <w:keepNext w:val="0"/>
              <w:keepLines w:val="0"/>
              <w:pageBreakBefore w:val="0"/>
              <w:kinsoku/>
              <w:wordWrap/>
              <w:overflowPunct/>
              <w:topLinePunct w:val="0"/>
              <w:bidi w:val="0"/>
              <w:adjustRightInd w:val="0"/>
              <w:snapToGrid w:val="0"/>
              <w:spacing w:line="360" w:lineRule="auto"/>
              <w:ind w:firstLine="420"/>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zh-CN"/>
              </w:rPr>
              <w:t>①大气</w:t>
            </w:r>
            <w:r>
              <w:rPr>
                <w:rFonts w:hint="default" w:ascii="Times New Roman" w:hAnsi="Times New Roman" w:cs="Times New Roman"/>
                <w:color w:val="auto"/>
                <w:sz w:val="21"/>
                <w:szCs w:val="21"/>
              </w:rPr>
              <w:t>环境</w:t>
            </w:r>
          </w:p>
          <w:p w14:paraId="6E4D8FBA">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根据《</w:t>
            </w:r>
            <w:r>
              <w:rPr>
                <w:rFonts w:hint="eastAsia" w:ascii="Times New Roman" w:hAnsi="Times New Roman" w:eastAsia="宋体" w:cstheme="minorEastAsia"/>
                <w:color w:val="auto"/>
                <w:sz w:val="21"/>
                <w:szCs w:val="24"/>
                <w:u w:val="none"/>
              </w:rPr>
              <w:t>铁力市红博农资销售有限责任公司</w:t>
            </w:r>
            <w:r>
              <w:rPr>
                <w:rFonts w:hint="eastAsia" w:ascii="Times New Roman" w:hAnsi="Times New Roman" w:eastAsia="宋体" w:cstheme="minorEastAsia"/>
                <w:color w:val="auto"/>
                <w:sz w:val="21"/>
                <w:szCs w:val="24"/>
                <w:u w:val="none"/>
                <w:lang w:val="en-US" w:eastAsia="zh-CN"/>
              </w:rPr>
              <w:t>生物质锅炉建设项目</w:t>
            </w:r>
            <w:r>
              <w:rPr>
                <w:rFonts w:hint="default" w:ascii="Times New Roman" w:hAnsi="Times New Roman" w:cs="Times New Roman" w:eastAsiaTheme="minorEastAsia"/>
                <w:color w:val="auto"/>
                <w:szCs w:val="21"/>
              </w:rPr>
              <w:t>生态环境分区管控分析报告》</w:t>
            </w:r>
            <w:r>
              <w:rPr>
                <w:rFonts w:hint="default" w:ascii="Times New Roman" w:hAnsi="Times New Roman" w:cs="Times New Roman"/>
                <w:color w:val="auto"/>
                <w:kern w:val="0"/>
                <w:szCs w:val="21"/>
              </w:rPr>
              <w:t>，本项目位于大气环境受体敏感重点管控区和大气环境</w:t>
            </w:r>
            <w:r>
              <w:rPr>
                <w:rFonts w:hint="eastAsia" w:cs="Times New Roman"/>
                <w:color w:val="auto"/>
                <w:kern w:val="0"/>
                <w:szCs w:val="21"/>
                <w:lang w:val="en-US" w:eastAsia="zh-CN"/>
              </w:rPr>
              <w:t>一般</w:t>
            </w:r>
            <w:r>
              <w:rPr>
                <w:rFonts w:hint="default" w:ascii="Times New Roman" w:hAnsi="Times New Roman" w:cs="Times New Roman"/>
                <w:color w:val="auto"/>
                <w:kern w:val="0"/>
                <w:szCs w:val="21"/>
              </w:rPr>
              <w:t>管控区</w:t>
            </w:r>
            <w:r>
              <w:rPr>
                <w:rFonts w:hint="default" w:ascii="Times New Roman" w:hAnsi="Times New Roman" w:cs="Times New Roman" w:eastAsiaTheme="minorEastAsia"/>
                <w:color w:val="auto"/>
                <w:szCs w:val="21"/>
              </w:rPr>
              <w:t>。</w:t>
            </w:r>
            <w:r>
              <w:rPr>
                <w:rFonts w:hint="default" w:ascii="Times New Roman" w:hAnsi="Times New Roman" w:cs="Times New Roman"/>
                <w:color w:val="auto"/>
                <w:szCs w:val="21"/>
              </w:rPr>
              <w:t>本项目运营期</w:t>
            </w:r>
            <w:r>
              <w:rPr>
                <w:rFonts w:hint="default" w:ascii="Times New Roman" w:hAnsi="Times New Roman" w:cs="Times New Roman"/>
                <w:color w:val="auto"/>
                <w:szCs w:val="21"/>
                <w:lang w:val="en-US" w:eastAsia="zh-CN"/>
              </w:rPr>
              <w:t>锅炉烟气</w:t>
            </w:r>
            <w:r>
              <w:rPr>
                <w:rFonts w:hint="default" w:ascii="Times New Roman" w:hAnsi="Times New Roman" w:cs="Times New Roman"/>
                <w:color w:val="auto"/>
                <w:szCs w:val="21"/>
              </w:rPr>
              <w:t>经过处理后能够达标排放，不会对大气环境质量现状造成不良影响，能够满足</w:t>
            </w:r>
            <w:r>
              <w:rPr>
                <w:rFonts w:hint="eastAsia" w:cs="Times New Roman"/>
                <w:color w:val="auto"/>
                <w:szCs w:val="21"/>
                <w:lang w:val="en-US" w:eastAsia="zh-CN"/>
              </w:rPr>
              <w:t>伊春</w:t>
            </w:r>
            <w:r>
              <w:rPr>
                <w:rFonts w:hint="default" w:ascii="Times New Roman" w:hAnsi="Times New Roman" w:cs="Times New Roman"/>
                <w:color w:val="auto"/>
                <w:szCs w:val="21"/>
              </w:rPr>
              <w:t>市大气环境质量底线要求</w:t>
            </w:r>
            <w:r>
              <w:rPr>
                <w:rFonts w:hint="default" w:ascii="Times New Roman" w:hAnsi="Times New Roman" w:cs="Times New Roman" w:eastAsiaTheme="minorEastAsia"/>
                <w:color w:val="auto"/>
                <w:szCs w:val="21"/>
              </w:rPr>
              <w:t>。</w:t>
            </w:r>
          </w:p>
          <w:p w14:paraId="72D3EA08">
            <w:pPr>
              <w:keepNext w:val="0"/>
              <w:keepLines w:val="0"/>
              <w:pageBreakBefore w:val="0"/>
              <w:kinsoku/>
              <w:wordWrap/>
              <w:overflowPunct/>
              <w:topLinePunct w:val="0"/>
              <w:bidi w:val="0"/>
              <w:spacing w:line="360" w:lineRule="auto"/>
              <w:ind w:firstLine="420" w:firstLineChars="2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②水环境</w:t>
            </w:r>
          </w:p>
          <w:p w14:paraId="03FF84A5">
            <w:pPr>
              <w:pStyle w:val="124"/>
              <w:keepNext w:val="0"/>
              <w:keepLines w:val="0"/>
              <w:pageBreakBefore w:val="0"/>
              <w:kinsoku/>
              <w:wordWrap/>
              <w:overflowPunct/>
              <w:topLinePunct w:val="0"/>
              <w:bidi w:val="0"/>
              <w:spacing w:line="360" w:lineRule="auto"/>
              <w:ind w:firstLine="420"/>
              <w:textAlignment w:val="auto"/>
              <w:rPr>
                <w:rFonts w:hint="default" w:ascii="Times New Roman" w:hAnsi="Times New Roman" w:cs="Times New Roman" w:eastAsiaTheme="minorEastAsia"/>
                <w:b/>
                <w:color w:val="auto"/>
                <w:sz w:val="21"/>
                <w:szCs w:val="21"/>
                <w:highlight w:val="none"/>
              </w:rPr>
            </w:pPr>
            <w:r>
              <w:rPr>
                <w:rFonts w:hint="default" w:ascii="Times New Roman" w:hAnsi="Times New Roman" w:cs="Times New Roman" w:eastAsiaTheme="minorEastAsia"/>
                <w:color w:val="auto"/>
                <w:sz w:val="21"/>
                <w:szCs w:val="21"/>
                <w:highlight w:val="none"/>
              </w:rPr>
              <w:t>根据</w:t>
            </w:r>
            <w:r>
              <w:rPr>
                <w:rFonts w:hint="default" w:ascii="Times New Roman" w:hAnsi="Times New Roman" w:cs="Times New Roman" w:eastAsiaTheme="minorEastAsia"/>
                <w:color w:val="auto"/>
                <w:szCs w:val="21"/>
                <w:highlight w:val="none"/>
              </w:rPr>
              <w:t>《</w:t>
            </w:r>
            <w:r>
              <w:rPr>
                <w:rFonts w:hint="eastAsia" w:ascii="Times New Roman" w:hAnsi="Times New Roman" w:eastAsia="宋体" w:cstheme="minorEastAsia"/>
                <w:color w:val="auto"/>
                <w:sz w:val="21"/>
                <w:szCs w:val="24"/>
                <w:highlight w:val="none"/>
                <w:u w:val="none"/>
              </w:rPr>
              <w:t>铁力市红博农资销售有限责任公司</w:t>
            </w:r>
            <w:r>
              <w:rPr>
                <w:rFonts w:hint="eastAsia" w:ascii="Times New Roman" w:hAnsi="Times New Roman" w:eastAsia="宋体" w:cstheme="minorEastAsia"/>
                <w:color w:val="auto"/>
                <w:sz w:val="21"/>
                <w:szCs w:val="24"/>
                <w:highlight w:val="none"/>
                <w:u w:val="none"/>
                <w:lang w:val="en-US" w:eastAsia="zh-CN"/>
              </w:rPr>
              <w:t>生物质锅炉建设项目</w:t>
            </w:r>
            <w:r>
              <w:rPr>
                <w:rFonts w:hint="default" w:ascii="Times New Roman" w:hAnsi="Times New Roman" w:cs="Times New Roman"/>
                <w:color w:val="auto"/>
                <w:sz w:val="21"/>
                <w:szCs w:val="21"/>
                <w:highlight w:val="none"/>
              </w:rPr>
              <w:t>生态环境分区管控分析报告</w:t>
            </w:r>
            <w:r>
              <w:rPr>
                <w:rFonts w:hint="default" w:ascii="Times New Roman" w:hAnsi="Times New Roman" w:cs="Times New Roman" w:eastAsiaTheme="minorEastAsia"/>
                <w:color w:val="auto"/>
                <w:sz w:val="21"/>
                <w:szCs w:val="21"/>
                <w:highlight w:val="none"/>
              </w:rPr>
              <w:t>》</w:t>
            </w:r>
            <w:r>
              <w:rPr>
                <w:rFonts w:hint="default" w:ascii="Times New Roman" w:hAnsi="Times New Roman" w:cs="Times New Roman"/>
                <w:color w:val="auto"/>
                <w:kern w:val="0"/>
                <w:sz w:val="21"/>
                <w:szCs w:val="21"/>
                <w:highlight w:val="none"/>
              </w:rPr>
              <w:t>，本项目位于水环境</w:t>
            </w:r>
            <w:r>
              <w:rPr>
                <w:rFonts w:hint="eastAsia" w:cs="Times New Roman"/>
                <w:color w:val="auto"/>
                <w:kern w:val="0"/>
                <w:sz w:val="21"/>
                <w:szCs w:val="21"/>
                <w:highlight w:val="none"/>
                <w:lang w:val="en-US" w:eastAsia="zh-CN"/>
              </w:rPr>
              <w:t>一般</w:t>
            </w:r>
            <w:r>
              <w:rPr>
                <w:rFonts w:hint="default" w:ascii="Times New Roman" w:hAnsi="Times New Roman" w:cs="Times New Roman"/>
                <w:color w:val="auto"/>
                <w:kern w:val="0"/>
                <w:sz w:val="21"/>
                <w:szCs w:val="21"/>
                <w:highlight w:val="none"/>
              </w:rPr>
              <w:t>管控区</w:t>
            </w:r>
            <w:r>
              <w:rPr>
                <w:rFonts w:hint="default" w:ascii="Times New Roman" w:hAnsi="Times New Roman" w:cs="Times New Roman" w:eastAsiaTheme="minorEastAsia"/>
                <w:color w:val="auto"/>
                <w:kern w:val="0"/>
                <w:sz w:val="21"/>
                <w:szCs w:val="21"/>
                <w:highlight w:val="none"/>
              </w:rPr>
              <w:t>。</w:t>
            </w:r>
            <w:bookmarkStart w:id="12" w:name="OLE_LINK4"/>
            <w:bookmarkStart w:id="13" w:name="OLE_LINK5"/>
            <w:r>
              <w:rPr>
                <w:rFonts w:hint="default" w:ascii="Times New Roman" w:hAnsi="Times New Roman" w:cs="Times New Roman"/>
                <w:color w:val="auto"/>
                <w:sz w:val="21"/>
                <w:szCs w:val="21"/>
                <w:highlight w:val="none"/>
              </w:rPr>
              <w:t>本项目</w:t>
            </w:r>
            <w:r>
              <w:rPr>
                <w:rFonts w:hint="default" w:ascii="Times New Roman" w:hAnsi="Times New Roman" w:cs="Times New Roman"/>
                <w:color w:val="auto"/>
                <w:sz w:val="21"/>
                <w:szCs w:val="21"/>
                <w:highlight w:val="none"/>
                <w:lang w:val="en-US" w:eastAsia="zh-CN"/>
              </w:rPr>
              <w:t>的</w:t>
            </w:r>
            <w:r>
              <w:rPr>
                <w:rFonts w:hint="default" w:ascii="Times New Roman" w:hAnsi="Times New Roman" w:cs="Times New Roman"/>
                <w:color w:val="auto"/>
                <w:sz w:val="21"/>
                <w:szCs w:val="21"/>
                <w:highlight w:val="none"/>
              </w:rPr>
              <w:t>锅炉排污水</w:t>
            </w:r>
            <w:r>
              <w:rPr>
                <w:rFonts w:hint="default" w:ascii="Times New Roman" w:hAnsi="Times New Roman" w:cs="Times New Roman"/>
                <w:color w:val="auto"/>
                <w:sz w:val="21"/>
                <w:szCs w:val="21"/>
                <w:highlight w:val="none"/>
                <w:lang w:val="en-US" w:eastAsia="zh-CN"/>
              </w:rPr>
              <w:t>及软化废水</w:t>
            </w:r>
            <w:r>
              <w:rPr>
                <w:rFonts w:hint="eastAsia" w:cs="Times New Roman"/>
                <w:color w:val="auto"/>
                <w:sz w:val="21"/>
                <w:szCs w:val="21"/>
                <w:highlight w:val="none"/>
                <w:lang w:val="en-US" w:eastAsia="zh-CN"/>
              </w:rPr>
              <w:t>定期拉运至铁力市污水处理厂，</w:t>
            </w:r>
            <w:r>
              <w:rPr>
                <w:rFonts w:hint="default" w:ascii="Times New Roman" w:hAnsi="Times New Roman" w:cs="Times New Roman"/>
                <w:color w:val="auto"/>
                <w:sz w:val="21"/>
                <w:szCs w:val="21"/>
                <w:highlight w:val="none"/>
              </w:rPr>
              <w:t>处理后</w:t>
            </w:r>
            <w:r>
              <w:rPr>
                <w:rFonts w:hint="default" w:ascii="Times New Roman" w:hAnsi="Times New Roman" w:cs="Times New Roman" w:eastAsiaTheme="minorEastAsia"/>
                <w:color w:val="auto"/>
                <w:sz w:val="21"/>
                <w:szCs w:val="21"/>
                <w:highlight w:val="none"/>
              </w:rPr>
              <w:t>满足《城镇污水处理厂污染物排放标准》（GB18918-2002）中的一级A标准后排放至</w:t>
            </w:r>
            <w:r>
              <w:rPr>
                <w:rFonts w:hint="eastAsia" w:cs="Times New Roman" w:eastAsiaTheme="minorEastAsia"/>
                <w:color w:val="auto"/>
                <w:sz w:val="21"/>
                <w:szCs w:val="21"/>
                <w:highlight w:val="none"/>
                <w:lang w:val="en-US" w:eastAsia="zh-CN"/>
              </w:rPr>
              <w:t>呼兰</w:t>
            </w:r>
            <w:r>
              <w:rPr>
                <w:rFonts w:hint="default" w:ascii="Times New Roman" w:hAnsi="Times New Roman" w:cs="Times New Roman" w:eastAsiaTheme="minorEastAsia"/>
                <w:color w:val="auto"/>
                <w:sz w:val="21"/>
                <w:szCs w:val="21"/>
                <w:highlight w:val="none"/>
              </w:rPr>
              <w:t>河</w:t>
            </w:r>
            <w:bookmarkEnd w:id="12"/>
            <w:bookmarkEnd w:id="13"/>
            <w:r>
              <w:rPr>
                <w:rFonts w:hint="default" w:ascii="Times New Roman" w:hAnsi="Times New Roman" w:cs="Times New Roman"/>
                <w:color w:val="auto"/>
                <w:sz w:val="21"/>
                <w:szCs w:val="21"/>
                <w:highlight w:val="none"/>
              </w:rPr>
              <w:t>，因此不会对区域水环境造成影响。</w:t>
            </w:r>
          </w:p>
          <w:p w14:paraId="0B1C2BC7">
            <w:pPr>
              <w:keepNext w:val="0"/>
              <w:keepLines w:val="0"/>
              <w:pageBreakBefore w:val="0"/>
              <w:kinsoku/>
              <w:wordWrap/>
              <w:overflowPunct/>
              <w:topLinePunct w:val="0"/>
              <w:bidi w:val="0"/>
              <w:spacing w:line="360" w:lineRule="auto"/>
              <w:ind w:firstLine="422" w:firstLineChars="200"/>
              <w:jc w:val="left"/>
              <w:textAlignment w:val="auto"/>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（3）资源利用上线</w:t>
            </w:r>
          </w:p>
          <w:p w14:paraId="4C571DDE">
            <w:pPr>
              <w:keepNext w:val="0"/>
              <w:keepLines w:val="0"/>
              <w:pageBreakBefore w:val="0"/>
              <w:kinsoku/>
              <w:wordWrap/>
              <w:overflowPunct/>
              <w:topLinePunct w:val="0"/>
              <w:bidi w:val="0"/>
              <w:spacing w:line="360" w:lineRule="auto"/>
              <w:ind w:firstLine="420" w:firstLineChars="200"/>
              <w:jc w:val="left"/>
              <w:textAlignment w:val="auto"/>
              <w:rPr>
                <w:rFonts w:hint="default" w:ascii="Times New Roman" w:hAnsi="Times New Roman" w:cs="Times New Roman"/>
                <w:color w:val="auto"/>
                <w:kern w:val="0"/>
                <w:szCs w:val="21"/>
              </w:rPr>
            </w:pPr>
            <w:r>
              <w:rPr>
                <w:rFonts w:hint="default" w:ascii="Times New Roman" w:hAnsi="Times New Roman" w:cs="Times New Roman" w:eastAsiaTheme="minorEastAsia"/>
                <w:color w:val="auto"/>
                <w:szCs w:val="21"/>
              </w:rPr>
              <w:t>本项目用水来源为</w:t>
            </w:r>
            <w:r>
              <w:rPr>
                <w:rFonts w:hint="eastAsia" w:cs="Times New Roman" w:eastAsiaTheme="minorEastAsia"/>
                <w:color w:val="auto"/>
                <w:szCs w:val="21"/>
                <w:lang w:val="en-US" w:eastAsia="zh-CN"/>
              </w:rPr>
              <w:t>地下</w:t>
            </w:r>
            <w:r>
              <w:rPr>
                <w:rFonts w:hint="default" w:ascii="Times New Roman" w:hAnsi="Times New Roman" w:cs="Times New Roman" w:eastAsiaTheme="minorEastAsia"/>
                <w:color w:val="auto"/>
                <w:szCs w:val="21"/>
              </w:rPr>
              <w:t>水，不对区域资源造成影响；选址土地为</w:t>
            </w:r>
            <w:r>
              <w:rPr>
                <w:rFonts w:hint="eastAsia" w:cs="Times New Roman" w:eastAsiaTheme="minorEastAsia"/>
                <w:color w:val="auto"/>
                <w:szCs w:val="21"/>
                <w:lang w:val="en-US" w:eastAsia="zh-CN"/>
              </w:rPr>
              <w:t>商服</w:t>
            </w:r>
            <w:r>
              <w:rPr>
                <w:rFonts w:hint="default" w:ascii="Times New Roman" w:hAnsi="Times New Roman" w:cs="Times New Roman" w:eastAsiaTheme="minorEastAsia"/>
                <w:color w:val="auto"/>
                <w:szCs w:val="21"/>
              </w:rPr>
              <w:t>用地，不占用基本农田和黑土地。本项目生产不使用煤、天然气等能源，</w:t>
            </w:r>
            <w:r>
              <w:rPr>
                <w:rFonts w:hint="default" w:ascii="Times New Roman" w:hAnsi="Times New Roman" w:cs="Times New Roman"/>
                <w:color w:val="auto"/>
                <w:szCs w:val="21"/>
              </w:rPr>
              <w:t>项目资源</w:t>
            </w:r>
            <w:r>
              <w:rPr>
                <w:rFonts w:hint="default" w:ascii="Times New Roman" w:hAnsi="Times New Roman" w:cs="Times New Roman" w:eastAsiaTheme="minorEastAsia"/>
                <w:color w:val="auto"/>
                <w:szCs w:val="21"/>
              </w:rPr>
              <w:t>消耗量相对区域资源总量较小，</w:t>
            </w:r>
            <w:r>
              <w:rPr>
                <w:rFonts w:hint="default" w:ascii="Times New Roman" w:hAnsi="Times New Roman" w:cs="Times New Roman" w:eastAsiaTheme="minorEastAsia"/>
                <w:color w:val="auto"/>
                <w:kern w:val="0"/>
                <w:szCs w:val="21"/>
              </w:rPr>
              <w:t>因此，本项目符合</w:t>
            </w:r>
            <w:r>
              <w:rPr>
                <w:rFonts w:hint="eastAsia" w:cs="Times New Roman" w:eastAsiaTheme="minorEastAsia"/>
                <w:color w:val="auto"/>
                <w:kern w:val="0"/>
                <w:szCs w:val="21"/>
                <w:lang w:val="en-US" w:eastAsia="zh-CN"/>
              </w:rPr>
              <w:t>伊春</w:t>
            </w:r>
            <w:r>
              <w:rPr>
                <w:rFonts w:hint="default" w:ascii="Times New Roman" w:hAnsi="Times New Roman" w:cs="Times New Roman"/>
                <w:color w:val="auto"/>
                <w:kern w:val="0"/>
                <w:szCs w:val="21"/>
              </w:rPr>
              <w:t>市能源利用上线、水资源利用上线和土地资源利用上线的相关要求</w:t>
            </w:r>
            <w:r>
              <w:rPr>
                <w:rFonts w:hint="default" w:ascii="Times New Roman" w:hAnsi="Times New Roman" w:cs="Times New Roman"/>
                <w:color w:val="auto"/>
                <w:szCs w:val="21"/>
              </w:rPr>
              <w:t>。</w:t>
            </w:r>
          </w:p>
          <w:p w14:paraId="3353BFAA">
            <w:pPr>
              <w:keepNext w:val="0"/>
              <w:keepLines w:val="0"/>
              <w:pageBreakBefore w:val="0"/>
              <w:kinsoku/>
              <w:wordWrap/>
              <w:overflowPunct/>
              <w:topLinePunct w:val="0"/>
              <w:bidi w:val="0"/>
              <w:spacing w:line="360" w:lineRule="auto"/>
              <w:ind w:firstLine="422" w:firstLineChars="200"/>
              <w:jc w:val="left"/>
              <w:textAlignment w:val="auto"/>
              <w:rPr>
                <w:rFonts w:hint="default" w:ascii="Times New Roman" w:hAnsi="Times New Roman" w:cs="Times New Roman" w:eastAsiaTheme="minorEastAsia"/>
                <w:b/>
                <w:color w:val="auto"/>
                <w:kern w:val="0"/>
                <w:szCs w:val="21"/>
              </w:rPr>
            </w:pPr>
            <w:r>
              <w:rPr>
                <w:rFonts w:hint="default" w:ascii="Times New Roman" w:hAnsi="Times New Roman" w:cs="Times New Roman" w:eastAsiaTheme="minorEastAsia"/>
                <w:b/>
                <w:color w:val="auto"/>
                <w:kern w:val="0"/>
                <w:szCs w:val="21"/>
              </w:rPr>
              <w:t>（4）</w:t>
            </w:r>
            <w:r>
              <w:rPr>
                <w:rFonts w:hint="default" w:ascii="Times New Roman" w:hAnsi="Times New Roman" w:cs="Times New Roman" w:eastAsiaTheme="minorEastAsia"/>
                <w:b/>
                <w:color w:val="auto"/>
                <w:kern w:val="0"/>
                <w:szCs w:val="21"/>
                <w:lang w:val="en-US" w:eastAsia="zh-CN"/>
              </w:rPr>
              <w:t>生态</w:t>
            </w:r>
            <w:r>
              <w:rPr>
                <w:rFonts w:hint="default" w:ascii="Times New Roman" w:hAnsi="Times New Roman" w:cs="Times New Roman" w:eastAsiaTheme="minorEastAsia"/>
                <w:b/>
                <w:color w:val="auto"/>
                <w:kern w:val="0"/>
                <w:szCs w:val="21"/>
              </w:rPr>
              <w:t>环境准入清单</w:t>
            </w:r>
          </w:p>
          <w:p w14:paraId="2D140A30">
            <w:pPr>
              <w:keepNext w:val="0"/>
              <w:keepLines w:val="0"/>
              <w:pageBreakBefore w:val="0"/>
              <w:kinsoku/>
              <w:wordWrap/>
              <w:overflowPunct/>
              <w:topLinePunct w:val="0"/>
              <w:bidi w:val="0"/>
              <w:spacing w:line="360" w:lineRule="auto"/>
              <w:ind w:firstLine="420" w:firstLineChars="200"/>
              <w:jc w:val="left"/>
              <w:textAlignment w:val="auto"/>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经“黑龙江省生态环境分区管控数据应用平台”查询，本项目环境管控单元为</w:t>
            </w:r>
            <w:r>
              <w:rPr>
                <w:rFonts w:hint="eastAsia" w:cs="Times New Roman" w:eastAsiaTheme="minorEastAsia"/>
                <w:color w:val="auto"/>
                <w:szCs w:val="21"/>
                <w:lang w:val="en-US" w:eastAsia="zh-CN"/>
              </w:rPr>
              <w:t>铁力市城镇空间和铁力市其他区域</w:t>
            </w:r>
            <w:r>
              <w:rPr>
                <w:rFonts w:hint="default" w:ascii="Times New Roman" w:hAnsi="Times New Roman" w:cs="Times New Roman" w:eastAsiaTheme="minorEastAsia"/>
                <w:color w:val="auto"/>
                <w:szCs w:val="21"/>
              </w:rPr>
              <w:t>，本项目与《</w:t>
            </w:r>
            <w:r>
              <w:rPr>
                <w:rFonts w:hint="eastAsia" w:cs="Times New Roman" w:eastAsiaTheme="minorEastAsia"/>
                <w:color w:val="auto"/>
                <w:szCs w:val="21"/>
                <w:lang w:val="en-US" w:eastAsia="zh-CN"/>
              </w:rPr>
              <w:t>伊春</w:t>
            </w:r>
            <w:r>
              <w:rPr>
                <w:rFonts w:hint="default" w:ascii="Times New Roman" w:hAnsi="Times New Roman" w:cs="Times New Roman" w:eastAsiaTheme="minorEastAsia"/>
                <w:color w:val="auto"/>
                <w:szCs w:val="21"/>
              </w:rPr>
              <w:t>市生态环境准入清单》（2023年版）符合性分析如下。</w:t>
            </w:r>
          </w:p>
          <w:p w14:paraId="361312BA">
            <w:pPr>
              <w:keepNext w:val="0"/>
              <w:keepLines w:val="0"/>
              <w:pageBreakBefore w:val="0"/>
              <w:kinsoku/>
              <w:wordWrap/>
              <w:overflowPunct/>
              <w:topLinePunct w:val="0"/>
              <w:bidi w:val="0"/>
              <w:spacing w:line="360" w:lineRule="auto"/>
              <w:ind w:firstLine="420" w:firstLineChars="200"/>
              <w:jc w:val="left"/>
              <w:textAlignment w:val="auto"/>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①一图</w:t>
            </w:r>
          </w:p>
          <w:p w14:paraId="1A52CDAC">
            <w:pPr>
              <w:keepNext w:val="0"/>
              <w:keepLines w:val="0"/>
              <w:pageBreakBefore w:val="0"/>
              <w:kinsoku/>
              <w:wordWrap/>
              <w:overflowPunct/>
              <w:topLinePunct w:val="0"/>
              <w:bidi w:val="0"/>
              <w:spacing w:line="360" w:lineRule="auto"/>
              <w:ind w:firstLine="420" w:firstLineChars="200"/>
              <w:jc w:val="left"/>
              <w:textAlignment w:val="auto"/>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根据《</w:t>
            </w:r>
            <w:r>
              <w:rPr>
                <w:rFonts w:hint="eastAsia" w:ascii="Times New Roman" w:hAnsi="Times New Roman" w:eastAsia="宋体" w:cstheme="minorEastAsia"/>
                <w:color w:val="auto"/>
                <w:sz w:val="21"/>
                <w:szCs w:val="24"/>
                <w:u w:val="none"/>
              </w:rPr>
              <w:t>铁力市红博农资销售有限责任公司</w:t>
            </w:r>
            <w:r>
              <w:rPr>
                <w:rFonts w:hint="eastAsia" w:ascii="Times New Roman" w:hAnsi="Times New Roman" w:eastAsia="宋体" w:cstheme="minorEastAsia"/>
                <w:color w:val="auto"/>
                <w:sz w:val="21"/>
                <w:szCs w:val="24"/>
                <w:u w:val="none"/>
                <w:lang w:val="en-US" w:eastAsia="zh-CN"/>
              </w:rPr>
              <w:t>生物质锅炉建设项目</w:t>
            </w:r>
            <w:r>
              <w:rPr>
                <w:rFonts w:hint="default" w:ascii="Times New Roman" w:hAnsi="Times New Roman" w:cs="Times New Roman" w:eastAsiaTheme="minorEastAsia"/>
                <w:color w:val="auto"/>
                <w:szCs w:val="21"/>
              </w:rPr>
              <w:t>生态环境分区管控分析报告》，本项目与环境管控单元叠加图如下：</w:t>
            </w:r>
          </w:p>
          <w:p w14:paraId="26534193">
            <w:pPr>
              <w:keepNext w:val="0"/>
              <w:keepLines w:val="0"/>
              <w:pageBreakBefore w:val="0"/>
              <w:kinsoku/>
              <w:wordWrap/>
              <w:overflowPunct/>
              <w:topLinePunct w:val="0"/>
              <w:bidi w:val="0"/>
              <w:spacing w:line="360" w:lineRule="auto"/>
              <w:ind w:firstLine="420" w:firstLineChars="200"/>
              <w:jc w:val="center"/>
              <w:textAlignment w:val="auto"/>
              <w:rPr>
                <w:rFonts w:hint="eastAsia" w:ascii="Times New Roman" w:hAnsi="Times New Roman" w:cs="Times New Roman" w:eastAsiaTheme="minorEastAsia"/>
                <w:color w:val="auto"/>
                <w:szCs w:val="21"/>
                <w:lang w:eastAsia="zh-CN"/>
              </w:rPr>
            </w:pPr>
            <w:r>
              <w:rPr>
                <w:rFonts w:hint="eastAsia" w:ascii="Times New Roman" w:hAnsi="Times New Roman" w:cs="Times New Roman" w:eastAsiaTheme="minorEastAsia"/>
                <w:color w:val="auto"/>
                <w:szCs w:val="21"/>
                <w:lang w:eastAsia="zh-CN"/>
              </w:rPr>
              <w:drawing>
                <wp:inline distT="0" distB="0" distL="114300" distR="114300">
                  <wp:extent cx="4589145" cy="2358390"/>
                  <wp:effectExtent l="0" t="0" r="1905" b="3810"/>
                  <wp:docPr id="123" name="图片 123" descr="1761276136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1761276136821"/>
                          <pic:cNvPicPr>
                            <a:picLocks noChangeAspect="1"/>
                          </pic:cNvPicPr>
                        </pic:nvPicPr>
                        <pic:blipFill>
                          <a:blip r:embed="rId16"/>
                          <a:stretch>
                            <a:fillRect/>
                          </a:stretch>
                        </pic:blipFill>
                        <pic:spPr>
                          <a:xfrm>
                            <a:off x="0" y="0"/>
                            <a:ext cx="4589145" cy="2358390"/>
                          </a:xfrm>
                          <a:prstGeom prst="rect">
                            <a:avLst/>
                          </a:prstGeom>
                        </pic:spPr>
                      </pic:pic>
                    </a:graphicData>
                  </a:graphic>
                </wp:inline>
              </w:drawing>
            </w:r>
          </w:p>
          <w:p w14:paraId="39C473B6">
            <w:pPr>
              <w:pStyle w:val="41"/>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eastAsiaTheme="minorEastAsia"/>
                <w:b/>
                <w:color w:val="auto"/>
                <w:kern w:val="2"/>
                <w:sz w:val="21"/>
                <w:szCs w:val="21"/>
                <w:lang w:val="en-US" w:eastAsia="zh-CN" w:bidi="ar-SA"/>
              </w:rPr>
            </w:pPr>
            <w:r>
              <w:rPr>
                <w:rFonts w:hint="default" w:ascii="Times New Roman" w:hAnsi="Times New Roman" w:cs="Times New Roman" w:eastAsiaTheme="minorEastAsia"/>
                <w:b/>
                <w:color w:val="auto"/>
                <w:kern w:val="2"/>
                <w:sz w:val="21"/>
                <w:szCs w:val="21"/>
                <w:lang w:val="en-US" w:eastAsia="zh-CN" w:bidi="ar-SA"/>
              </w:rPr>
              <w:t>图1-2 本项目与环境管控单元叠加图</w:t>
            </w:r>
          </w:p>
          <w:p w14:paraId="4C93CFEF">
            <w:pPr>
              <w:keepNext w:val="0"/>
              <w:keepLines w:val="0"/>
              <w:pageBreakBefore w:val="0"/>
              <w:kinsoku/>
              <w:wordWrap/>
              <w:overflowPunct/>
              <w:topLinePunct w:val="0"/>
              <w:bidi w:val="0"/>
              <w:spacing w:line="360" w:lineRule="auto"/>
              <w:ind w:firstLine="420" w:firstLineChars="200"/>
              <w:jc w:val="left"/>
              <w:textAlignment w:val="auto"/>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根据《</w:t>
            </w:r>
            <w:r>
              <w:rPr>
                <w:rFonts w:hint="eastAsia" w:ascii="Times New Roman" w:hAnsi="Times New Roman" w:eastAsia="宋体" w:cstheme="minorEastAsia"/>
                <w:color w:val="auto"/>
                <w:sz w:val="21"/>
                <w:szCs w:val="24"/>
                <w:u w:val="none"/>
              </w:rPr>
              <w:t>铁力市红博农资销售有限责任公司</w:t>
            </w:r>
            <w:r>
              <w:rPr>
                <w:rFonts w:hint="eastAsia" w:ascii="Times New Roman" w:hAnsi="Times New Roman" w:eastAsia="宋体" w:cstheme="minorEastAsia"/>
                <w:color w:val="auto"/>
                <w:sz w:val="21"/>
                <w:szCs w:val="24"/>
                <w:u w:val="none"/>
                <w:lang w:val="en-US" w:eastAsia="zh-CN"/>
              </w:rPr>
              <w:t>生物质锅炉建设项目</w:t>
            </w:r>
            <w:r>
              <w:rPr>
                <w:rFonts w:hint="default" w:ascii="Times New Roman" w:hAnsi="Times New Roman" w:cs="Times New Roman" w:eastAsiaTheme="minorEastAsia"/>
                <w:color w:val="auto"/>
                <w:szCs w:val="21"/>
              </w:rPr>
              <w:t>生态环境分区管控分析报告》</w:t>
            </w:r>
            <w:r>
              <w:rPr>
                <w:rFonts w:hint="default" w:ascii="Times New Roman" w:hAnsi="Times New Roman" w:cs="Times New Roman" w:eastAsiaTheme="minorEastAsia"/>
                <w:color w:val="auto"/>
                <w:kern w:val="0"/>
                <w:szCs w:val="21"/>
              </w:rPr>
              <w:t>，</w:t>
            </w:r>
            <w:r>
              <w:rPr>
                <w:rFonts w:hint="default" w:ascii="Times New Roman" w:hAnsi="Times New Roman" w:cs="Times New Roman" w:eastAsiaTheme="minorEastAsia"/>
                <w:color w:val="auto"/>
                <w:szCs w:val="21"/>
              </w:rPr>
              <w:t>本项目属于</w:t>
            </w:r>
            <w:r>
              <w:rPr>
                <w:rFonts w:hint="eastAsia" w:cs="Times New Roman" w:eastAsiaTheme="minorEastAsia"/>
                <w:color w:val="auto"/>
                <w:szCs w:val="21"/>
                <w:lang w:val="en-US" w:eastAsia="zh-CN"/>
              </w:rPr>
              <w:t>铁力市城镇空间和铁力市其他区域</w:t>
            </w:r>
            <w:r>
              <w:rPr>
                <w:rFonts w:hint="default" w:ascii="Times New Roman" w:hAnsi="Times New Roman" w:cs="Times New Roman" w:eastAsiaTheme="minorEastAsia"/>
                <w:color w:val="auto"/>
                <w:szCs w:val="21"/>
              </w:rPr>
              <w:t>。符合性情况见下表。</w:t>
            </w:r>
          </w:p>
          <w:p w14:paraId="60E79192">
            <w:pPr>
              <w:pStyle w:val="114"/>
              <w:keepNext w:val="0"/>
              <w:keepLines w:val="0"/>
              <w:pageBreakBefore w:val="0"/>
              <w:widowControl w:val="0"/>
              <w:kinsoku/>
              <w:wordWrap/>
              <w:overflowPunct/>
              <w:topLinePunct w:val="0"/>
              <w:autoSpaceDE/>
              <w:autoSpaceDN/>
              <w:bidi w:val="0"/>
              <w:spacing w:line="360" w:lineRule="auto"/>
              <w:textAlignment w:val="auto"/>
              <w:rPr>
                <w:rFonts w:hint="default" w:ascii="Times New Roman" w:hAnsi="Times New Roman" w:eastAsia="宋体" w:cs="Times New Roman"/>
                <w:b/>
                <w:bCs/>
                <w:color w:val="auto"/>
                <w:sz w:val="21"/>
                <w:highlight w:val="none"/>
              </w:rPr>
            </w:pPr>
            <w:r>
              <w:rPr>
                <w:rFonts w:hint="default" w:ascii="Times New Roman" w:hAnsi="Times New Roman" w:eastAsia="宋体" w:cs="Times New Roman"/>
                <w:b/>
                <w:bCs/>
                <w:color w:val="auto"/>
                <w:sz w:val="21"/>
                <w:highlight w:val="none"/>
                <w:lang w:val="en-US" w:eastAsia="zh-CN"/>
              </w:rPr>
              <w:t>1、</w:t>
            </w:r>
            <w:r>
              <w:rPr>
                <w:rFonts w:hint="default" w:ascii="Times New Roman" w:hAnsi="Times New Roman" w:eastAsia="宋体" w:cs="Times New Roman"/>
                <w:b/>
                <w:bCs/>
                <w:color w:val="auto"/>
                <w:sz w:val="21"/>
                <w:highlight w:val="none"/>
              </w:rPr>
              <w:t>“</w:t>
            </w:r>
            <w:r>
              <w:rPr>
                <w:rFonts w:hint="default" w:ascii="Times New Roman" w:hAnsi="Times New Roman" w:eastAsia="宋体" w:cs="Times New Roman"/>
                <w:b/>
                <w:bCs/>
                <w:color w:val="auto"/>
                <w:sz w:val="21"/>
                <w:szCs w:val="24"/>
                <w:highlight w:val="none"/>
                <w:lang w:val="en-US" w:eastAsia="zh-CN"/>
              </w:rPr>
              <w:t>生态环境分区管控</w:t>
            </w:r>
            <w:r>
              <w:rPr>
                <w:rFonts w:hint="default" w:ascii="Times New Roman" w:hAnsi="Times New Roman" w:eastAsia="宋体" w:cs="Times New Roman"/>
                <w:b/>
                <w:bCs/>
                <w:color w:val="auto"/>
                <w:sz w:val="21"/>
                <w:highlight w:val="none"/>
              </w:rPr>
              <w:t>”符合性分析</w:t>
            </w:r>
          </w:p>
          <w:p w14:paraId="1018DF63">
            <w:pPr>
              <w:pStyle w:val="54"/>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b/>
                <w:bCs/>
                <w:color w:val="auto"/>
                <w:sz w:val="21"/>
                <w:szCs w:val="21"/>
                <w:highlight w:val="none"/>
              </w:rPr>
              <w:t>表1-</w:t>
            </w:r>
            <w:r>
              <w:rPr>
                <w:rFonts w:hint="eastAsia" w:ascii="Times New Roman" w:hAnsi="Times New Roman" w:cs="Times New Roman"/>
                <w:b/>
                <w:bCs/>
                <w:color w:val="auto"/>
                <w:sz w:val="21"/>
                <w:szCs w:val="21"/>
                <w:highlight w:val="none"/>
                <w:lang w:val="en-US" w:eastAsia="zh-CN"/>
              </w:rPr>
              <w:t>3</w:t>
            </w:r>
            <w:r>
              <w:rPr>
                <w:rFonts w:hint="default" w:ascii="Times New Roman" w:hAnsi="Times New Roman" w:eastAsia="宋体" w:cs="Times New Roman"/>
                <w:b/>
                <w:bCs/>
                <w:color w:val="auto"/>
                <w:sz w:val="21"/>
                <w:szCs w:val="21"/>
                <w:highlight w:val="none"/>
              </w:rPr>
              <w:t xml:space="preserve"> 生态环境准入清单符合性分析</w:t>
            </w:r>
          </w:p>
          <w:tbl>
            <w:tblPr>
              <w:tblStyle w:val="4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287"/>
              <w:gridCol w:w="3165"/>
              <w:gridCol w:w="1953"/>
            </w:tblGrid>
            <w:tr w14:paraId="212DC0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33" w:type="dxa"/>
                  <w:gridSpan w:val="2"/>
                  <w:tcBorders>
                    <w:tl2br w:val="nil"/>
                    <w:tr2bl w:val="nil"/>
                  </w:tcBorders>
                  <w:vAlign w:val="center"/>
                </w:tcPr>
                <w:p w14:paraId="059036F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highlight w:val="none"/>
                      <w:vertAlign w:val="baseline"/>
                    </w:rPr>
                  </w:pPr>
                  <w:r>
                    <w:rPr>
                      <w:rFonts w:hint="default" w:ascii="Times New Roman" w:hAnsi="Times New Roman" w:eastAsia="宋体" w:cs="Times New Roman"/>
                      <w:b/>
                      <w:bCs/>
                      <w:color w:val="auto"/>
                      <w:sz w:val="21"/>
                      <w:szCs w:val="21"/>
                      <w:highlight w:val="none"/>
                    </w:rPr>
                    <w:t>环境管控单元编码</w:t>
                  </w:r>
                </w:p>
              </w:tc>
              <w:tc>
                <w:tcPr>
                  <w:tcW w:w="3165" w:type="dxa"/>
                  <w:tcBorders>
                    <w:tl2br w:val="nil"/>
                    <w:tr2bl w:val="nil"/>
                  </w:tcBorders>
                  <w:vAlign w:val="center"/>
                </w:tcPr>
                <w:p w14:paraId="0D442F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highlight w:val="none"/>
                      <w:vertAlign w:val="baseline"/>
                    </w:rPr>
                  </w:pPr>
                  <w:r>
                    <w:rPr>
                      <w:rFonts w:hint="default" w:ascii="Times New Roman" w:hAnsi="Times New Roman" w:eastAsia="宋体" w:cs="Times New Roman"/>
                      <w:b/>
                      <w:bCs/>
                      <w:color w:val="auto"/>
                      <w:sz w:val="21"/>
                      <w:szCs w:val="21"/>
                      <w:highlight w:val="none"/>
                    </w:rPr>
                    <w:t>环境管控单元名称</w:t>
                  </w:r>
                </w:p>
              </w:tc>
              <w:tc>
                <w:tcPr>
                  <w:tcW w:w="1953" w:type="dxa"/>
                  <w:tcBorders>
                    <w:tl2br w:val="nil"/>
                    <w:tr2bl w:val="nil"/>
                  </w:tcBorders>
                  <w:vAlign w:val="center"/>
                </w:tcPr>
                <w:p w14:paraId="6A72DAB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highlight w:val="none"/>
                      <w:vertAlign w:val="baseline"/>
                    </w:rPr>
                  </w:pPr>
                  <w:r>
                    <w:rPr>
                      <w:rFonts w:hint="default" w:ascii="Times New Roman" w:hAnsi="Times New Roman" w:eastAsia="宋体" w:cs="Times New Roman"/>
                      <w:b/>
                      <w:bCs/>
                      <w:color w:val="auto"/>
                      <w:sz w:val="21"/>
                      <w:szCs w:val="21"/>
                      <w:highlight w:val="none"/>
                    </w:rPr>
                    <w:t>环境管控单元类型</w:t>
                  </w:r>
                </w:p>
              </w:tc>
            </w:tr>
            <w:tr w14:paraId="12E1BC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33" w:type="dxa"/>
                  <w:gridSpan w:val="2"/>
                  <w:tcBorders>
                    <w:tl2br w:val="nil"/>
                    <w:tr2bl w:val="nil"/>
                  </w:tcBorders>
                  <w:vAlign w:val="center"/>
                </w:tcPr>
                <w:p w14:paraId="53D002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sz w:val="21"/>
                      <w:highlight w:val="none"/>
                      <w:vertAlign w:val="baseline"/>
                    </w:rPr>
                  </w:pPr>
                  <w:r>
                    <w:rPr>
                      <w:rFonts w:hint="default" w:ascii="Times New Roman" w:hAnsi="Times New Roman" w:eastAsia="宋体" w:cs="Times New Roman"/>
                      <w:b w:val="0"/>
                      <w:bCs/>
                      <w:color w:val="auto"/>
                      <w:sz w:val="21"/>
                      <w:highlight w:val="none"/>
                      <w:vertAlign w:val="baseline"/>
                    </w:rPr>
                    <w:t>ZH23078120002</w:t>
                  </w:r>
                </w:p>
              </w:tc>
              <w:tc>
                <w:tcPr>
                  <w:tcW w:w="3165" w:type="dxa"/>
                  <w:tcBorders>
                    <w:tl2br w:val="nil"/>
                    <w:tr2bl w:val="nil"/>
                  </w:tcBorders>
                  <w:vAlign w:val="center"/>
                </w:tcPr>
                <w:p w14:paraId="22904A7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sz w:val="21"/>
                      <w:highlight w:val="none"/>
                      <w:vertAlign w:val="baseline"/>
                      <w:lang w:val="en-US" w:eastAsia="zh-CN"/>
                    </w:rPr>
                  </w:pPr>
                  <w:r>
                    <w:rPr>
                      <w:rFonts w:hint="eastAsia" w:ascii="Times New Roman" w:hAnsi="Times New Roman" w:eastAsia="宋体" w:cs="Times New Roman"/>
                      <w:b w:val="0"/>
                      <w:bCs/>
                      <w:color w:val="auto"/>
                      <w:sz w:val="21"/>
                      <w:highlight w:val="none"/>
                      <w:vertAlign w:val="baseline"/>
                      <w:lang w:val="en-US" w:eastAsia="zh-CN"/>
                    </w:rPr>
                    <w:t>铁力市城镇空间</w:t>
                  </w:r>
                </w:p>
              </w:tc>
              <w:tc>
                <w:tcPr>
                  <w:tcW w:w="1953" w:type="dxa"/>
                  <w:tcBorders>
                    <w:tl2br w:val="nil"/>
                    <w:tr2bl w:val="nil"/>
                  </w:tcBorders>
                  <w:vAlign w:val="center"/>
                </w:tcPr>
                <w:p w14:paraId="0EEA1E0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sz w:val="21"/>
                      <w:highlight w:val="none"/>
                      <w:vertAlign w:val="baseline"/>
                    </w:rPr>
                  </w:pPr>
                  <w:r>
                    <w:rPr>
                      <w:rFonts w:hint="default" w:ascii="Times New Roman" w:hAnsi="Times New Roman" w:eastAsia="宋体" w:cs="Times New Roman"/>
                      <w:color w:val="auto"/>
                      <w:kern w:val="0"/>
                      <w:sz w:val="21"/>
                      <w:szCs w:val="21"/>
                      <w:highlight w:val="none"/>
                    </w:rPr>
                    <w:t>重点管控单元</w:t>
                  </w:r>
                </w:p>
              </w:tc>
            </w:tr>
            <w:tr w14:paraId="371B59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98" w:type="dxa"/>
                  <w:gridSpan w:val="3"/>
                  <w:tcBorders>
                    <w:tl2br w:val="nil"/>
                    <w:tr2bl w:val="nil"/>
                  </w:tcBorders>
                  <w:vAlign w:val="center"/>
                </w:tcPr>
                <w:p w14:paraId="459A673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管控要求</w:t>
                  </w:r>
                </w:p>
              </w:tc>
              <w:tc>
                <w:tcPr>
                  <w:tcW w:w="1953" w:type="dxa"/>
                  <w:tcBorders>
                    <w:tl2br w:val="nil"/>
                    <w:tr2bl w:val="nil"/>
                  </w:tcBorders>
                  <w:vAlign w:val="center"/>
                </w:tcPr>
                <w:p w14:paraId="7B80EF5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符合性分析</w:t>
                  </w:r>
                </w:p>
              </w:tc>
            </w:tr>
            <w:tr w14:paraId="0080C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vMerge w:val="restart"/>
                  <w:tcBorders>
                    <w:tl2br w:val="nil"/>
                    <w:tr2bl w:val="nil"/>
                  </w:tcBorders>
                  <w:vAlign w:val="center"/>
                </w:tcPr>
                <w:p w14:paraId="17F77C7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sz w:val="21"/>
                      <w:highlight w:val="none"/>
                      <w:vertAlign w:val="baseline"/>
                      <w:lang w:val="en-US" w:eastAsia="zh-CN"/>
                    </w:rPr>
                  </w:pPr>
                  <w:r>
                    <w:rPr>
                      <w:rFonts w:hint="default" w:ascii="Times New Roman" w:hAnsi="Times New Roman" w:eastAsia="宋体" w:cs="Times New Roman"/>
                      <w:color w:val="auto"/>
                      <w:kern w:val="0"/>
                      <w:sz w:val="21"/>
                      <w:szCs w:val="21"/>
                      <w:highlight w:val="none"/>
                      <w:lang w:val="en-US" w:eastAsia="zh-CN"/>
                    </w:rPr>
                    <w:t>空间布局约束</w:t>
                  </w:r>
                </w:p>
              </w:tc>
              <w:tc>
                <w:tcPr>
                  <w:tcW w:w="4452" w:type="dxa"/>
                  <w:gridSpan w:val="2"/>
                  <w:tcBorders>
                    <w:tl2br w:val="nil"/>
                    <w:tr2bl w:val="nil"/>
                  </w:tcBorders>
                  <w:vAlign w:val="center"/>
                </w:tcPr>
                <w:p w14:paraId="0A861ACE">
                  <w:pPr>
                    <w:pStyle w:val="2"/>
                    <w:keepNext w:val="0"/>
                    <w:keepLines w:val="0"/>
                    <w:pageBreakBefore w:val="0"/>
                    <w:widowControl w:val="0"/>
                    <w:kinsoku w:val="0"/>
                    <w:wordWrap/>
                    <w:overflowPunct w:val="0"/>
                    <w:topLinePunct w:val="0"/>
                    <w:autoSpaceDE w:val="0"/>
                    <w:autoSpaceDN w:val="0"/>
                    <w:bidi w:val="0"/>
                    <w:adjustRightInd/>
                    <w:snapToGrid w:val="0"/>
                    <w:spacing w:line="240" w:lineRule="auto"/>
                    <w:jc w:val="both"/>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highlight w:val="none"/>
                      <w:lang w:val="en-US" w:eastAsia="zh-CN"/>
                    </w:rPr>
                    <w:t>1.严禁在人口密集区新建危险化学品生产项目，城镇人口密集区危险化学品生产企业应搬迁改造</w:t>
                  </w:r>
                  <w:r>
                    <w:rPr>
                      <w:rFonts w:hint="default" w:ascii="Times New Roman" w:hAnsi="Times New Roman" w:eastAsia="宋体" w:cs="Times New Roman"/>
                      <w:color w:val="auto"/>
                      <w:kern w:val="0"/>
                      <w:sz w:val="21"/>
                      <w:szCs w:val="21"/>
                      <w:lang w:val="en-US" w:eastAsia="zh-CN" w:bidi="ar-SA"/>
                    </w:rPr>
                    <w:t>。</w:t>
                  </w:r>
                </w:p>
              </w:tc>
              <w:tc>
                <w:tcPr>
                  <w:tcW w:w="1953" w:type="dxa"/>
                  <w:tcBorders>
                    <w:tl2br w:val="nil"/>
                    <w:tr2bl w:val="nil"/>
                  </w:tcBorders>
                  <w:vAlign w:val="center"/>
                </w:tcPr>
                <w:p w14:paraId="33644251">
                  <w:pPr>
                    <w:keepNext w:val="0"/>
                    <w:keepLines w:val="0"/>
                    <w:pageBreakBefore w:val="0"/>
                    <w:widowControl/>
                    <w:wordWrap/>
                    <w:topLinePunct w:val="0"/>
                    <w:bidi w:val="0"/>
                    <w:adjustRightInd/>
                    <w:jc w:val="center"/>
                    <w:textAlignment w:val="auto"/>
                    <w:rPr>
                      <w:rFonts w:hint="default" w:ascii="Times New Roman" w:hAnsi="Times New Roman" w:eastAsia="宋体" w:cs="Times New Roman"/>
                      <w:b/>
                      <w:color w:val="auto"/>
                      <w:sz w:val="21"/>
                      <w:highlight w:val="none"/>
                      <w:vertAlign w:val="baseline"/>
                    </w:rPr>
                  </w:pPr>
                  <w:r>
                    <w:rPr>
                      <w:rFonts w:hint="eastAsia" w:cs="Times New Roman"/>
                      <w:color w:val="auto"/>
                      <w:sz w:val="21"/>
                      <w:szCs w:val="21"/>
                      <w:lang w:val="en-US" w:eastAsia="zh-CN"/>
                    </w:rPr>
                    <w:t>本项目不涉及危险化学品</w:t>
                  </w:r>
                  <w:r>
                    <w:rPr>
                      <w:rFonts w:hint="default" w:ascii="Times New Roman" w:hAnsi="Times New Roman" w:eastAsia="宋体" w:cs="Times New Roman"/>
                      <w:color w:val="auto"/>
                      <w:sz w:val="21"/>
                      <w:szCs w:val="21"/>
                    </w:rPr>
                    <w:t>。</w:t>
                  </w:r>
                </w:p>
              </w:tc>
            </w:tr>
            <w:tr w14:paraId="360C66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vMerge w:val="continue"/>
                  <w:tcBorders>
                    <w:tl2br w:val="nil"/>
                    <w:tr2bl w:val="nil"/>
                  </w:tcBorders>
                  <w:vAlign w:val="center"/>
                </w:tcPr>
                <w:p w14:paraId="1A8102E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452" w:type="dxa"/>
                  <w:gridSpan w:val="2"/>
                  <w:tcBorders>
                    <w:tl2br w:val="nil"/>
                    <w:tr2bl w:val="nil"/>
                  </w:tcBorders>
                  <w:vAlign w:val="center"/>
                </w:tcPr>
                <w:p w14:paraId="21A821AB">
                  <w:pPr>
                    <w:pStyle w:val="2"/>
                    <w:keepNext w:val="0"/>
                    <w:keepLines w:val="0"/>
                    <w:pageBreakBefore w:val="0"/>
                    <w:widowControl w:val="0"/>
                    <w:kinsoku w:val="0"/>
                    <w:wordWrap/>
                    <w:overflowPunct w:val="0"/>
                    <w:topLinePunct w:val="0"/>
                    <w:autoSpaceDE w:val="0"/>
                    <w:autoSpaceDN w:val="0"/>
                    <w:bidi w:val="0"/>
                    <w:adjustRightInd/>
                    <w:snapToGrid w:val="0"/>
                    <w:spacing w:line="240" w:lineRule="auto"/>
                    <w:jc w:val="both"/>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highlight w:val="none"/>
                      <w:lang w:val="en-US" w:eastAsia="zh-CN"/>
                    </w:rPr>
                    <w:t>2.禁止在城镇居民区、文化教育科学研究区等人口集中区域建设畜禽养殖场、养殖小区</w:t>
                  </w:r>
                  <w:r>
                    <w:rPr>
                      <w:rFonts w:hint="eastAsia" w:ascii="Times New Roman" w:hAnsi="Times New Roman" w:cs="Times New Roman"/>
                      <w:color w:val="auto"/>
                      <w:sz w:val="21"/>
                      <w:szCs w:val="21"/>
                      <w:highlight w:val="none"/>
                      <w:lang w:val="en-US" w:eastAsia="zh-CN"/>
                    </w:rPr>
                    <w:t>。</w:t>
                  </w:r>
                </w:p>
              </w:tc>
              <w:tc>
                <w:tcPr>
                  <w:tcW w:w="1953" w:type="dxa"/>
                  <w:tcBorders>
                    <w:tl2br w:val="nil"/>
                    <w:tr2bl w:val="nil"/>
                  </w:tcBorders>
                  <w:vAlign w:val="center"/>
                </w:tcPr>
                <w:p w14:paraId="26ED4ACE">
                  <w:pPr>
                    <w:keepNext w:val="0"/>
                    <w:keepLines w:val="0"/>
                    <w:pageBreakBefore w:val="0"/>
                    <w:widowControl/>
                    <w:wordWrap/>
                    <w:topLinePunct w:val="0"/>
                    <w:bidi w:val="0"/>
                    <w:adjustRightInd/>
                    <w:jc w:val="center"/>
                    <w:textAlignment w:val="auto"/>
                    <w:rPr>
                      <w:rFonts w:hint="default" w:ascii="Times New Roman" w:hAnsi="Times New Roman" w:eastAsia="宋体" w:cs="Times New Roman"/>
                      <w:b/>
                      <w:color w:val="auto"/>
                      <w:sz w:val="21"/>
                      <w:highlight w:val="none"/>
                      <w:vertAlign w:val="baseline"/>
                    </w:rPr>
                  </w:pPr>
                  <w:r>
                    <w:rPr>
                      <w:rFonts w:hint="default" w:ascii="Times New Roman" w:hAnsi="Times New Roman" w:eastAsia="宋体" w:cs="Times New Roman"/>
                      <w:color w:val="auto"/>
                      <w:sz w:val="21"/>
                      <w:szCs w:val="21"/>
                      <w:highlight w:val="none"/>
                      <w:lang w:val="en-US" w:eastAsia="zh-CN"/>
                    </w:rPr>
                    <w:t>本项目</w:t>
                  </w:r>
                  <w:r>
                    <w:rPr>
                      <w:rFonts w:hint="default" w:ascii="Times New Roman" w:hAnsi="Times New Roman" w:eastAsia="宋体" w:cs="Times New Roman"/>
                      <w:color w:val="auto"/>
                      <w:sz w:val="21"/>
                      <w:szCs w:val="21"/>
                      <w:highlight w:val="none"/>
                    </w:rPr>
                    <w:t>不涉及</w:t>
                  </w:r>
                </w:p>
              </w:tc>
            </w:tr>
            <w:tr w14:paraId="17C38B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tcBorders>
                    <w:tl2br w:val="nil"/>
                    <w:tr2bl w:val="nil"/>
                  </w:tcBorders>
                  <w:vAlign w:val="center"/>
                </w:tcPr>
                <w:p w14:paraId="45F74B3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污染物排放控制</w:t>
                  </w:r>
                </w:p>
              </w:tc>
              <w:tc>
                <w:tcPr>
                  <w:tcW w:w="4452" w:type="dxa"/>
                  <w:gridSpan w:val="2"/>
                  <w:tcBorders>
                    <w:tl2br w:val="nil"/>
                    <w:tr2bl w:val="nil"/>
                  </w:tcBorders>
                  <w:vAlign w:val="center"/>
                </w:tcPr>
                <w:p w14:paraId="065AA277">
                  <w:pPr>
                    <w:pStyle w:val="2"/>
                    <w:keepNext w:val="0"/>
                    <w:keepLines w:val="0"/>
                    <w:pageBreakBefore w:val="0"/>
                    <w:widowControl w:val="0"/>
                    <w:kinsoku w:val="0"/>
                    <w:wordWrap/>
                    <w:overflowPunct w:val="0"/>
                    <w:topLinePunct w:val="0"/>
                    <w:autoSpaceDE w:val="0"/>
                    <w:autoSpaceDN w:val="0"/>
                    <w:bidi w:val="0"/>
                    <w:adjustRightInd/>
                    <w:snapToGrid w:val="0"/>
                    <w:spacing w:line="240" w:lineRule="auto"/>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污染物排放管控加快65t/h以上燃煤锅炉（含电力）超低排放改造。</w:t>
                  </w:r>
                </w:p>
              </w:tc>
              <w:tc>
                <w:tcPr>
                  <w:tcW w:w="1953" w:type="dxa"/>
                  <w:tcBorders>
                    <w:tl2br w:val="nil"/>
                    <w:tr2bl w:val="nil"/>
                  </w:tcBorders>
                  <w:vAlign w:val="center"/>
                </w:tcPr>
                <w:p w14:paraId="140603DE">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本项目为生物质锅炉</w:t>
                  </w:r>
                </w:p>
              </w:tc>
            </w:tr>
          </w:tbl>
          <w:p w14:paraId="1B5BB7C3">
            <w:pPr>
              <w:rPr>
                <w:color w:val="auto"/>
              </w:rPr>
            </w:pPr>
          </w:p>
          <w:p w14:paraId="6CE50A3A">
            <w:pPr>
              <w:rPr>
                <w:color w:val="auto"/>
              </w:rPr>
            </w:pPr>
          </w:p>
          <w:p w14:paraId="1EA03CA2">
            <w:pPr>
              <w:rPr>
                <w:color w:val="auto"/>
              </w:rPr>
            </w:pPr>
          </w:p>
          <w:p w14:paraId="68B0F136">
            <w:pPr>
              <w:pStyle w:val="54"/>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color w:val="auto"/>
              </w:rPr>
            </w:pPr>
            <w:r>
              <w:rPr>
                <w:rFonts w:hint="default" w:ascii="Times New Roman" w:hAnsi="Times New Roman" w:eastAsia="宋体" w:cs="Times New Roman"/>
                <w:b/>
                <w:bCs/>
                <w:color w:val="auto"/>
                <w:sz w:val="21"/>
                <w:szCs w:val="21"/>
                <w:highlight w:val="none"/>
              </w:rPr>
              <w:t>表1-</w:t>
            </w:r>
            <w:r>
              <w:rPr>
                <w:rFonts w:hint="eastAsia" w:ascii="Times New Roman" w:hAnsi="Times New Roman" w:eastAsia="宋体" w:cs="Times New Roman"/>
                <w:b/>
                <w:bCs/>
                <w:color w:val="auto"/>
                <w:sz w:val="21"/>
                <w:szCs w:val="21"/>
                <w:highlight w:val="none"/>
                <w:lang w:val="en-US" w:eastAsia="zh-CN"/>
              </w:rPr>
              <w:t>3</w:t>
            </w:r>
            <w:r>
              <w:rPr>
                <w:rFonts w:hint="default" w:ascii="Times New Roman" w:hAnsi="Times New Roman" w:eastAsia="宋体" w:cs="Times New Roman"/>
                <w:b/>
                <w:bCs/>
                <w:color w:val="auto"/>
                <w:sz w:val="21"/>
                <w:szCs w:val="21"/>
                <w:highlight w:val="none"/>
              </w:rPr>
              <w:t xml:space="preserve"> 生态环境准入清单符合性分析</w:t>
            </w:r>
          </w:p>
          <w:tbl>
            <w:tblPr>
              <w:tblStyle w:val="4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287"/>
              <w:gridCol w:w="3165"/>
              <w:gridCol w:w="1953"/>
            </w:tblGrid>
            <w:tr w14:paraId="020DE0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vAlign w:val="center"/>
                </w:tcPr>
                <w:p w14:paraId="03C318A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环境风险防控</w:t>
                  </w:r>
                </w:p>
              </w:tc>
              <w:tc>
                <w:tcPr>
                  <w:tcW w:w="4452" w:type="dxa"/>
                  <w:gridSpan w:val="2"/>
                  <w:vAlign w:val="center"/>
                </w:tcPr>
                <w:p w14:paraId="6235F6E0">
                  <w:pPr>
                    <w:pStyle w:val="2"/>
                    <w:keepNext w:val="0"/>
                    <w:keepLines w:val="0"/>
                    <w:pageBreakBefore w:val="0"/>
                    <w:widowControl w:val="0"/>
                    <w:kinsoku w:val="0"/>
                    <w:wordWrap/>
                    <w:overflowPunct w:val="0"/>
                    <w:topLinePunct w:val="0"/>
                    <w:autoSpaceDE w:val="0"/>
                    <w:autoSpaceDN w:val="0"/>
                    <w:bidi w:val="0"/>
                    <w:adjustRightInd/>
                    <w:snapToGrid w:val="0"/>
                    <w:spacing w:line="240" w:lineRule="auto"/>
                    <w:jc w:val="both"/>
                    <w:textAlignment w:val="auto"/>
                    <w:rPr>
                      <w:rFonts w:hint="default" w:ascii="Times New Roman" w:hAnsi="Times New Roman" w:eastAsia="宋体" w:cs="Times New Roman"/>
                      <w:color w:val="auto"/>
                      <w:sz w:val="21"/>
                      <w:szCs w:val="21"/>
                      <w:highlight w:val="none"/>
                      <w:lang w:val="en-US" w:eastAsia="zh-CN"/>
                    </w:rPr>
                  </w:pPr>
                  <w:r>
                    <w:rPr>
                      <w:rFonts w:ascii="宋体" w:hAnsi="宋体" w:eastAsia="宋体" w:cs="宋体"/>
                      <w:color w:val="auto"/>
                      <w:sz w:val="21"/>
                      <w:szCs w:val="21"/>
                    </w:rPr>
                    <w:t>化工园区与城市建成区、人员密集场所、重要设施、敏感目标等应当保持规定的安全距离， 相对封闭，不应保留常住居民，非关联企业和产业要逐步搬迁或退出，妥善防范化解“邻 避”问题。严禁在松花江干流及一级支流沿岸1公里范围内布局化工园区。</w:t>
                  </w:r>
                </w:p>
              </w:tc>
              <w:tc>
                <w:tcPr>
                  <w:tcW w:w="1953" w:type="dxa"/>
                  <w:vAlign w:val="center"/>
                </w:tcPr>
                <w:p w14:paraId="01F71E86">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本项目不位于化工园区</w:t>
                  </w:r>
                </w:p>
              </w:tc>
            </w:tr>
            <w:tr w14:paraId="69ABC7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vMerge w:val="restart"/>
                  <w:vAlign w:val="center"/>
                </w:tcPr>
                <w:p w14:paraId="62D000B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资源开发效率</w:t>
                  </w:r>
                </w:p>
              </w:tc>
              <w:tc>
                <w:tcPr>
                  <w:tcW w:w="4452" w:type="dxa"/>
                  <w:gridSpan w:val="2"/>
                  <w:vAlign w:val="center"/>
                </w:tcPr>
                <w:p w14:paraId="4CDB7C58">
                  <w:pPr>
                    <w:pStyle w:val="2"/>
                    <w:keepNext w:val="0"/>
                    <w:keepLines w:val="0"/>
                    <w:pageBreakBefore w:val="0"/>
                    <w:widowControl w:val="0"/>
                    <w:kinsoku w:val="0"/>
                    <w:wordWrap/>
                    <w:overflowPunct w:val="0"/>
                    <w:topLinePunct w:val="0"/>
                    <w:autoSpaceDE w:val="0"/>
                    <w:autoSpaceDN w:val="0"/>
                    <w:bidi w:val="0"/>
                    <w:adjustRightInd/>
                    <w:snapToGrid w:val="0"/>
                    <w:spacing w:line="240" w:lineRule="auto"/>
                    <w:jc w:val="both"/>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highlight w:val="none"/>
                      <w:lang w:val="en-US" w:eastAsia="zh-CN"/>
                    </w:rPr>
                    <w:t>1.推进污水再生利用设施建设</w:t>
                  </w:r>
                  <w:r>
                    <w:rPr>
                      <w:rFonts w:hint="eastAsia" w:ascii="Times New Roman" w:hAnsi="Times New Roman" w:cs="Times New Roman"/>
                      <w:color w:val="auto"/>
                      <w:sz w:val="21"/>
                      <w:szCs w:val="21"/>
                      <w:highlight w:val="none"/>
                      <w:lang w:val="en-US" w:eastAsia="zh-CN"/>
                    </w:rPr>
                    <w:t>。</w:t>
                  </w:r>
                </w:p>
              </w:tc>
              <w:tc>
                <w:tcPr>
                  <w:tcW w:w="1953" w:type="dxa"/>
                  <w:vAlign w:val="center"/>
                </w:tcPr>
                <w:p w14:paraId="00D6C490">
                  <w:pPr>
                    <w:keepNext w:val="0"/>
                    <w:keepLines w:val="0"/>
                    <w:pageBreakBefore w:val="0"/>
                    <w:widowControl/>
                    <w:wordWrap/>
                    <w:topLinePunct w:val="0"/>
                    <w:bidi w:val="0"/>
                    <w:adjustRightInd/>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不涉及</w:t>
                  </w:r>
                </w:p>
              </w:tc>
            </w:tr>
            <w:tr w14:paraId="42FCB4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vMerge w:val="continue"/>
                  <w:vAlign w:val="center"/>
                </w:tcPr>
                <w:p w14:paraId="1DAEB61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452" w:type="dxa"/>
                  <w:gridSpan w:val="2"/>
                  <w:vAlign w:val="center"/>
                </w:tcPr>
                <w:p w14:paraId="07BB62DA">
                  <w:pPr>
                    <w:pStyle w:val="2"/>
                    <w:keepNext w:val="0"/>
                    <w:keepLines w:val="0"/>
                    <w:pageBreakBefore w:val="0"/>
                    <w:widowControl w:val="0"/>
                    <w:numPr>
                      <w:ilvl w:val="0"/>
                      <w:numId w:val="0"/>
                    </w:numPr>
                    <w:kinsoku w:val="0"/>
                    <w:wordWrap/>
                    <w:overflowPunct w:val="0"/>
                    <w:topLinePunct w:val="0"/>
                    <w:autoSpaceDE w:val="0"/>
                    <w:autoSpaceDN w:val="0"/>
                    <w:bidi w:val="0"/>
                    <w:adjustRightInd/>
                    <w:snapToGrid w:val="0"/>
                    <w:spacing w:line="240" w:lineRule="auto"/>
                    <w:jc w:val="both"/>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highlight w:val="none"/>
                      <w:lang w:val="en-US" w:eastAsia="zh-CN"/>
                    </w:rPr>
                    <w:t>2.公共建筑必须采用节水器具，限期淘汰公共建筑中不符合节水标准的水嘴、便器水箱等生活用水器具。</w:t>
                  </w:r>
                </w:p>
              </w:tc>
              <w:tc>
                <w:tcPr>
                  <w:tcW w:w="1953" w:type="dxa"/>
                  <w:vAlign w:val="center"/>
                </w:tcPr>
                <w:p w14:paraId="38A15C55">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公共建筑采用节水器具</w:t>
                  </w:r>
                </w:p>
              </w:tc>
            </w:tr>
            <w:tr w14:paraId="3159ED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vMerge w:val="continue"/>
                  <w:vAlign w:val="center"/>
                </w:tcPr>
                <w:p w14:paraId="039C704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452" w:type="dxa"/>
                  <w:gridSpan w:val="2"/>
                  <w:vAlign w:val="center"/>
                </w:tcPr>
                <w:p w14:paraId="55C258EA">
                  <w:pPr>
                    <w:pStyle w:val="2"/>
                    <w:keepNext w:val="0"/>
                    <w:keepLines w:val="0"/>
                    <w:pageBreakBefore w:val="0"/>
                    <w:widowControl w:val="0"/>
                    <w:numPr>
                      <w:ilvl w:val="0"/>
                      <w:numId w:val="0"/>
                    </w:numPr>
                    <w:kinsoku w:val="0"/>
                    <w:wordWrap/>
                    <w:overflowPunct w:val="0"/>
                    <w:topLinePunct w:val="0"/>
                    <w:autoSpaceDE w:val="0"/>
                    <w:autoSpaceDN w:val="0"/>
                    <w:bidi w:val="0"/>
                    <w:adjustRightInd/>
                    <w:snapToGrid w:val="0"/>
                    <w:spacing w:line="240" w:lineRule="auto"/>
                    <w:jc w:val="both"/>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sz w:val="21"/>
                      <w:szCs w:val="21"/>
                      <w:highlight w:val="none"/>
                      <w:lang w:val="en-US" w:eastAsia="zh-CN"/>
                    </w:rPr>
                    <w:t>3.地下水超采地区，县级以上地方人民政府应当采取措施，制定地下水压采方案并严格落实，严格控制开采地下水。</w:t>
                  </w:r>
                </w:p>
              </w:tc>
              <w:tc>
                <w:tcPr>
                  <w:tcW w:w="1953" w:type="dxa"/>
                  <w:vAlign w:val="center"/>
                </w:tcPr>
                <w:p w14:paraId="4B1244C8">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本项目已取得取水证</w:t>
                  </w:r>
                </w:p>
              </w:tc>
            </w:tr>
            <w:tr w14:paraId="7A5A1F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vMerge w:val="continue"/>
                  <w:vAlign w:val="center"/>
                </w:tcPr>
                <w:p w14:paraId="34811E6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452" w:type="dxa"/>
                  <w:gridSpan w:val="2"/>
                  <w:vAlign w:val="center"/>
                </w:tcPr>
                <w:p w14:paraId="51232490">
                  <w:pPr>
                    <w:pStyle w:val="2"/>
                    <w:keepNext w:val="0"/>
                    <w:keepLines w:val="0"/>
                    <w:pageBreakBefore w:val="0"/>
                    <w:widowControl w:val="0"/>
                    <w:numPr>
                      <w:ilvl w:val="0"/>
                      <w:numId w:val="0"/>
                    </w:numPr>
                    <w:kinsoku w:val="0"/>
                    <w:wordWrap/>
                    <w:overflowPunct w:val="0"/>
                    <w:topLinePunct w:val="0"/>
                    <w:autoSpaceDE w:val="0"/>
                    <w:autoSpaceDN w:val="0"/>
                    <w:bidi w:val="0"/>
                    <w:adjustRightInd/>
                    <w:snapToGrid w:val="0"/>
                    <w:spacing w:line="240" w:lineRule="auto"/>
                    <w:jc w:val="both"/>
                    <w:textAlignment w:val="auto"/>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禁止地下水超采区工业建设项目和服务业新增取用地下水，逐步削减超采量，逐渐实现地下水采补平衡。确需新建、改扩建地下水取水工程的，报省级水行政主管部门批准。</w:t>
                  </w:r>
                </w:p>
              </w:tc>
              <w:tc>
                <w:tcPr>
                  <w:tcW w:w="1953" w:type="dxa"/>
                  <w:vAlign w:val="center"/>
                </w:tcPr>
                <w:p w14:paraId="0319D149">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本项目已取得取水证，取水量未超过许可取水量</w:t>
                  </w:r>
                </w:p>
              </w:tc>
            </w:tr>
            <w:tr w14:paraId="39B12B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33" w:type="dxa"/>
                  <w:gridSpan w:val="2"/>
                  <w:shd w:val="clear" w:color="auto" w:fill="auto"/>
                  <w:vAlign w:val="center"/>
                </w:tcPr>
                <w:p w14:paraId="758CA1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 w:val="21"/>
                      <w:szCs w:val="24"/>
                      <w:highlight w:val="none"/>
                      <w:vertAlign w:val="baseline"/>
                      <w:lang w:val="en-US" w:eastAsia="zh-CN" w:bidi="ar-SA"/>
                    </w:rPr>
                  </w:pPr>
                  <w:r>
                    <w:rPr>
                      <w:rFonts w:hint="default" w:ascii="Times New Roman" w:hAnsi="Times New Roman" w:eastAsia="宋体" w:cs="Times New Roman"/>
                      <w:b/>
                      <w:bCs/>
                      <w:color w:val="auto"/>
                      <w:sz w:val="21"/>
                      <w:szCs w:val="21"/>
                      <w:highlight w:val="none"/>
                    </w:rPr>
                    <w:t>环境管控单元编码</w:t>
                  </w:r>
                </w:p>
              </w:tc>
              <w:tc>
                <w:tcPr>
                  <w:tcW w:w="3165" w:type="dxa"/>
                  <w:shd w:val="clear" w:color="auto" w:fill="auto"/>
                  <w:vAlign w:val="center"/>
                </w:tcPr>
                <w:p w14:paraId="307E510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环境管控单元名称</w:t>
                  </w:r>
                </w:p>
              </w:tc>
              <w:tc>
                <w:tcPr>
                  <w:tcW w:w="1953" w:type="dxa"/>
                  <w:shd w:val="clear" w:color="auto" w:fill="auto"/>
                  <w:vAlign w:val="center"/>
                </w:tcPr>
                <w:p w14:paraId="10942A7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4"/>
                      <w:highlight w:val="none"/>
                      <w:vertAlign w:val="baseline"/>
                      <w:lang w:val="en-US" w:eastAsia="zh-CN" w:bidi="ar-SA"/>
                    </w:rPr>
                  </w:pPr>
                  <w:r>
                    <w:rPr>
                      <w:rFonts w:hint="default" w:ascii="Times New Roman" w:hAnsi="Times New Roman" w:eastAsia="宋体" w:cs="Times New Roman"/>
                      <w:b/>
                      <w:bCs/>
                      <w:color w:val="auto"/>
                      <w:sz w:val="21"/>
                      <w:szCs w:val="21"/>
                      <w:highlight w:val="none"/>
                    </w:rPr>
                    <w:t>环境管控单元类型</w:t>
                  </w:r>
                </w:p>
              </w:tc>
            </w:tr>
            <w:tr w14:paraId="3BEBF8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433" w:type="dxa"/>
                  <w:gridSpan w:val="2"/>
                  <w:shd w:val="clear" w:color="auto" w:fill="auto"/>
                  <w:vAlign w:val="center"/>
                </w:tcPr>
                <w:p w14:paraId="6ED5254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color w:val="auto"/>
                      <w:kern w:val="2"/>
                      <w:sz w:val="21"/>
                      <w:szCs w:val="24"/>
                      <w:highlight w:val="none"/>
                      <w:vertAlign w:val="baseline"/>
                      <w:lang w:val="en-US" w:eastAsia="zh-CN" w:bidi="ar-SA"/>
                    </w:rPr>
                  </w:pPr>
                  <w:r>
                    <w:rPr>
                      <w:rFonts w:hint="default" w:ascii="Times New Roman" w:hAnsi="Times New Roman" w:eastAsia="宋体" w:cs="Times New Roman"/>
                      <w:b w:val="0"/>
                      <w:bCs/>
                      <w:color w:val="auto"/>
                      <w:sz w:val="21"/>
                      <w:highlight w:val="none"/>
                      <w:vertAlign w:val="baseline"/>
                    </w:rPr>
                    <w:t>ZH23078130002</w:t>
                  </w:r>
                </w:p>
              </w:tc>
              <w:tc>
                <w:tcPr>
                  <w:tcW w:w="3165" w:type="dxa"/>
                  <w:shd w:val="clear" w:color="auto" w:fill="auto"/>
                  <w:vAlign w:val="center"/>
                </w:tcPr>
                <w:p w14:paraId="1C27298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sz w:val="21"/>
                      <w:highlight w:val="none"/>
                      <w:vertAlign w:val="baseline"/>
                      <w:lang w:val="en-US" w:eastAsia="zh-CN"/>
                    </w:rPr>
                  </w:pPr>
                  <w:r>
                    <w:rPr>
                      <w:rFonts w:hint="eastAsia" w:cs="Times New Roman"/>
                      <w:b w:val="0"/>
                      <w:bCs/>
                      <w:color w:val="auto"/>
                      <w:sz w:val="21"/>
                      <w:highlight w:val="none"/>
                      <w:vertAlign w:val="baseline"/>
                      <w:lang w:val="en-US" w:eastAsia="zh-CN"/>
                    </w:rPr>
                    <w:t>铁力市其他区域</w:t>
                  </w:r>
                </w:p>
              </w:tc>
              <w:tc>
                <w:tcPr>
                  <w:tcW w:w="1953" w:type="dxa"/>
                  <w:shd w:val="clear" w:color="auto" w:fill="auto"/>
                  <w:vAlign w:val="center"/>
                </w:tcPr>
                <w:p w14:paraId="759CD6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kern w:val="2"/>
                      <w:sz w:val="21"/>
                      <w:szCs w:val="24"/>
                      <w:highlight w:val="none"/>
                      <w:vertAlign w:val="baseline"/>
                      <w:lang w:val="en-US" w:eastAsia="zh-CN" w:bidi="ar-SA"/>
                    </w:rPr>
                  </w:pPr>
                  <w:r>
                    <w:rPr>
                      <w:rFonts w:hint="eastAsia" w:cs="Times New Roman"/>
                      <w:color w:val="auto"/>
                      <w:kern w:val="0"/>
                      <w:sz w:val="21"/>
                      <w:szCs w:val="21"/>
                      <w:highlight w:val="none"/>
                      <w:lang w:val="en-US" w:eastAsia="zh-CN"/>
                    </w:rPr>
                    <w:t>一般</w:t>
                  </w:r>
                  <w:r>
                    <w:rPr>
                      <w:rFonts w:hint="default" w:ascii="Times New Roman" w:hAnsi="Times New Roman" w:eastAsia="宋体" w:cs="Times New Roman"/>
                      <w:color w:val="auto"/>
                      <w:kern w:val="0"/>
                      <w:sz w:val="21"/>
                      <w:szCs w:val="21"/>
                      <w:highlight w:val="none"/>
                    </w:rPr>
                    <w:t>管控单元</w:t>
                  </w:r>
                </w:p>
              </w:tc>
            </w:tr>
            <w:tr w14:paraId="4E4744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98" w:type="dxa"/>
                  <w:gridSpan w:val="3"/>
                  <w:shd w:val="clear" w:color="auto" w:fill="auto"/>
                  <w:vAlign w:val="center"/>
                </w:tcPr>
                <w:p w14:paraId="5171947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管控要求</w:t>
                  </w:r>
                </w:p>
              </w:tc>
              <w:tc>
                <w:tcPr>
                  <w:tcW w:w="1953" w:type="dxa"/>
                  <w:vAlign w:val="center"/>
                </w:tcPr>
                <w:p w14:paraId="4B3CFA9E">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符合性分析</w:t>
                  </w:r>
                </w:p>
              </w:tc>
            </w:tr>
            <w:tr w14:paraId="785664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vMerge w:val="restart"/>
                  <w:shd w:val="clear" w:color="auto" w:fill="auto"/>
                  <w:vAlign w:val="center"/>
                </w:tcPr>
                <w:p w14:paraId="7C65FE8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color w:val="auto"/>
                      <w:kern w:val="2"/>
                      <w:sz w:val="21"/>
                      <w:szCs w:val="24"/>
                      <w:highlight w:val="none"/>
                      <w:vertAlign w:val="baseline"/>
                      <w:lang w:val="en-US" w:eastAsia="zh-CN" w:bidi="ar-SA"/>
                    </w:rPr>
                  </w:pPr>
                  <w:r>
                    <w:rPr>
                      <w:rFonts w:hint="default" w:ascii="Times New Roman" w:hAnsi="Times New Roman" w:eastAsia="宋体" w:cs="Times New Roman"/>
                      <w:color w:val="auto"/>
                      <w:kern w:val="0"/>
                      <w:sz w:val="21"/>
                      <w:szCs w:val="21"/>
                      <w:highlight w:val="none"/>
                      <w:lang w:val="en-US" w:eastAsia="zh-CN"/>
                    </w:rPr>
                    <w:t>空间布局约束</w:t>
                  </w:r>
                </w:p>
              </w:tc>
              <w:tc>
                <w:tcPr>
                  <w:tcW w:w="4452" w:type="dxa"/>
                  <w:gridSpan w:val="2"/>
                  <w:vAlign w:val="center"/>
                </w:tcPr>
                <w:p w14:paraId="509C8A57">
                  <w:pPr>
                    <w:pStyle w:val="2"/>
                    <w:keepNext w:val="0"/>
                    <w:keepLines w:val="0"/>
                    <w:pageBreakBefore w:val="0"/>
                    <w:widowControl w:val="0"/>
                    <w:numPr>
                      <w:ilvl w:val="0"/>
                      <w:numId w:val="0"/>
                    </w:numPr>
                    <w:kinsoku w:val="0"/>
                    <w:wordWrap/>
                    <w:overflowPunct w:val="0"/>
                    <w:topLinePunct w:val="0"/>
                    <w:autoSpaceDE w:val="0"/>
                    <w:autoSpaceDN w:val="0"/>
                    <w:bidi w:val="0"/>
                    <w:adjustRightInd/>
                    <w:snapToGrid w:val="0"/>
                    <w:spacing w:line="240" w:lineRule="auto"/>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1.引导工业项目向开发区集中，促进产业集聚、资源集约、绿色发展。</w:t>
                  </w:r>
                </w:p>
              </w:tc>
              <w:tc>
                <w:tcPr>
                  <w:tcW w:w="1953" w:type="dxa"/>
                  <w:vAlign w:val="center"/>
                </w:tcPr>
                <w:p w14:paraId="60E7783E">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本项目属于热力生产与供应，为</w:t>
                  </w:r>
                  <w:r>
                    <w:rPr>
                      <w:rFonts w:hint="eastAsia" w:ascii="Times New Roman" w:hAnsi="Times New Roman" w:cs="宋体"/>
                      <w:color w:val="auto"/>
                      <w:kern w:val="2"/>
                      <w:sz w:val="21"/>
                      <w:szCs w:val="24"/>
                      <w:highlight w:val="none"/>
                      <w:lang w:val="en-US" w:eastAsia="zh-CN" w:bidi="ar-SA"/>
                    </w:rPr>
                    <w:t>铁力农资农机种子综合大市场</w:t>
                  </w:r>
                  <w:r>
                    <w:rPr>
                      <w:rFonts w:hint="eastAsia" w:ascii="Times New Roman" w:hAnsi="Times New Roman" w:eastAsia="宋体" w:cs="宋体"/>
                      <w:color w:val="auto"/>
                      <w:kern w:val="2"/>
                      <w:sz w:val="21"/>
                      <w:szCs w:val="24"/>
                      <w:highlight w:val="none"/>
                      <w:lang w:val="en-US" w:eastAsia="zh-CN" w:bidi="ar-SA"/>
                    </w:rPr>
                    <w:t>供暖</w:t>
                  </w:r>
                </w:p>
              </w:tc>
            </w:tr>
            <w:tr w14:paraId="1B640A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vMerge w:val="continue"/>
                  <w:shd w:val="clear" w:color="auto" w:fill="auto"/>
                  <w:vAlign w:val="center"/>
                </w:tcPr>
                <w:p w14:paraId="18E266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rPr>
                  </w:pPr>
                </w:p>
              </w:tc>
              <w:tc>
                <w:tcPr>
                  <w:tcW w:w="4452" w:type="dxa"/>
                  <w:gridSpan w:val="2"/>
                  <w:vAlign w:val="center"/>
                </w:tcPr>
                <w:p w14:paraId="0192E1C6">
                  <w:pPr>
                    <w:pStyle w:val="2"/>
                    <w:keepNext w:val="0"/>
                    <w:keepLines w:val="0"/>
                    <w:pageBreakBefore w:val="0"/>
                    <w:widowControl w:val="0"/>
                    <w:numPr>
                      <w:ilvl w:val="0"/>
                      <w:numId w:val="0"/>
                    </w:numPr>
                    <w:kinsoku w:val="0"/>
                    <w:wordWrap/>
                    <w:overflowPunct w:val="0"/>
                    <w:topLinePunct w:val="0"/>
                    <w:autoSpaceDE w:val="0"/>
                    <w:autoSpaceDN w:val="0"/>
                    <w:bidi w:val="0"/>
                    <w:adjustRightInd/>
                    <w:snapToGrid w:val="0"/>
                    <w:spacing w:line="240" w:lineRule="auto"/>
                    <w:jc w:val="both"/>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强化节能环保标准约束，严格行业规范、准入管理和节能审查，对电力、钢铁、建材、有色、化工、石油石化、船舶、煤炭、印染、造纸、制革、染料、焦化、电镀等行业中，环保、能耗、安全等不达标或生产、使用淘汰类产品的企业和产能，要依法依规有序退出。</w:t>
                  </w:r>
                </w:p>
              </w:tc>
              <w:tc>
                <w:tcPr>
                  <w:tcW w:w="1953" w:type="dxa"/>
                  <w:vAlign w:val="center"/>
                </w:tcPr>
                <w:p w14:paraId="722EC8FE">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本项目为锅炉燃料煤改生物质，不属于</w:t>
                  </w:r>
                  <w:r>
                    <w:rPr>
                      <w:rFonts w:hint="eastAsia" w:ascii="Times New Roman" w:hAnsi="Times New Roman" w:cs="Times New Roman"/>
                      <w:color w:val="auto"/>
                      <w:sz w:val="21"/>
                      <w:szCs w:val="21"/>
                      <w:highlight w:val="none"/>
                      <w:lang w:val="en-US" w:eastAsia="zh-CN"/>
                    </w:rPr>
                    <w:t>环保、能耗、安全等不达标或生产、使用淘汰类产品的企业和产能</w:t>
                  </w:r>
                </w:p>
              </w:tc>
            </w:tr>
            <w:tr w14:paraId="1347A0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shd w:val="clear" w:color="auto" w:fill="auto"/>
                  <w:vAlign w:val="center"/>
                </w:tcPr>
                <w:p w14:paraId="493A85C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污染物排放控制</w:t>
                  </w:r>
                </w:p>
              </w:tc>
              <w:tc>
                <w:tcPr>
                  <w:tcW w:w="4452" w:type="dxa"/>
                  <w:gridSpan w:val="2"/>
                  <w:vAlign w:val="center"/>
                </w:tcPr>
                <w:p w14:paraId="11C3A5C5">
                  <w:pPr>
                    <w:pStyle w:val="2"/>
                    <w:keepNext w:val="0"/>
                    <w:keepLines w:val="0"/>
                    <w:pageBreakBefore w:val="0"/>
                    <w:widowControl w:val="0"/>
                    <w:numPr>
                      <w:ilvl w:val="0"/>
                      <w:numId w:val="0"/>
                    </w:numPr>
                    <w:kinsoku w:val="0"/>
                    <w:wordWrap/>
                    <w:overflowPunct w:val="0"/>
                    <w:topLinePunct w:val="0"/>
                    <w:autoSpaceDE w:val="0"/>
                    <w:autoSpaceDN w:val="0"/>
                    <w:bidi w:val="0"/>
                    <w:adjustRightInd/>
                    <w:snapToGrid w:val="0"/>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953" w:type="dxa"/>
                  <w:vAlign w:val="center"/>
                </w:tcPr>
                <w:p w14:paraId="27F451F7">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r>
            <w:tr w14:paraId="20F207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shd w:val="clear" w:color="auto" w:fill="auto"/>
                  <w:vAlign w:val="center"/>
                </w:tcPr>
                <w:p w14:paraId="75FA76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环境风险防控</w:t>
                  </w:r>
                </w:p>
              </w:tc>
              <w:tc>
                <w:tcPr>
                  <w:tcW w:w="4452" w:type="dxa"/>
                  <w:gridSpan w:val="2"/>
                  <w:shd w:val="clear" w:color="auto" w:fill="auto"/>
                  <w:vAlign w:val="center"/>
                </w:tcPr>
                <w:p w14:paraId="62EB2669">
                  <w:pPr>
                    <w:pStyle w:val="2"/>
                    <w:keepNext w:val="0"/>
                    <w:keepLines w:val="0"/>
                    <w:pageBreakBefore w:val="0"/>
                    <w:widowControl w:val="0"/>
                    <w:numPr>
                      <w:ilvl w:val="0"/>
                      <w:numId w:val="0"/>
                    </w:numPr>
                    <w:kinsoku w:val="0"/>
                    <w:wordWrap/>
                    <w:overflowPunct w:val="0"/>
                    <w:topLinePunct w:val="0"/>
                    <w:autoSpaceDE w:val="0"/>
                    <w:autoSpaceDN w:val="0"/>
                    <w:bidi w:val="0"/>
                    <w:adjustRightInd/>
                    <w:snapToGrid w:val="0"/>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953" w:type="dxa"/>
                  <w:vAlign w:val="center"/>
                </w:tcPr>
                <w:p w14:paraId="21689B6C">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r>
            <w:tr w14:paraId="2607B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146" w:type="dxa"/>
                  <w:shd w:val="clear" w:color="auto" w:fill="auto"/>
                  <w:vAlign w:val="center"/>
                </w:tcPr>
                <w:p w14:paraId="0B879A0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rPr>
                    <w:t>资源开发效率</w:t>
                  </w:r>
                </w:p>
              </w:tc>
              <w:tc>
                <w:tcPr>
                  <w:tcW w:w="4452" w:type="dxa"/>
                  <w:gridSpan w:val="2"/>
                  <w:shd w:val="clear" w:color="auto" w:fill="auto"/>
                  <w:vAlign w:val="center"/>
                </w:tcPr>
                <w:p w14:paraId="5935071F">
                  <w:pPr>
                    <w:pStyle w:val="2"/>
                    <w:keepNext w:val="0"/>
                    <w:keepLines w:val="0"/>
                    <w:pageBreakBefore w:val="0"/>
                    <w:widowControl w:val="0"/>
                    <w:numPr>
                      <w:ilvl w:val="0"/>
                      <w:numId w:val="0"/>
                    </w:numPr>
                    <w:kinsoku w:val="0"/>
                    <w:wordWrap/>
                    <w:overflowPunct w:val="0"/>
                    <w:topLinePunct w:val="0"/>
                    <w:autoSpaceDE w:val="0"/>
                    <w:autoSpaceDN w:val="0"/>
                    <w:bidi w:val="0"/>
                    <w:adjustRightInd/>
                    <w:snapToGrid w:val="0"/>
                    <w:spacing w:line="240" w:lineRule="auto"/>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953" w:type="dxa"/>
                  <w:vAlign w:val="center"/>
                </w:tcPr>
                <w:p w14:paraId="79C07B64">
                  <w:pPr>
                    <w:keepNext w:val="0"/>
                    <w:keepLines w:val="0"/>
                    <w:pageBreakBefore w:val="0"/>
                    <w:widowControl/>
                    <w:wordWrap/>
                    <w:topLinePunct w:val="0"/>
                    <w:bidi w:val="0"/>
                    <w:adjustRightInd/>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r>
          </w:tbl>
          <w:p w14:paraId="305A046C">
            <w:pPr>
              <w:bidi w:val="0"/>
              <w:spacing w:line="360" w:lineRule="auto"/>
              <w:ind w:firstLine="420" w:firstLineChars="200"/>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val="en-US" w:eastAsia="zh-CN"/>
              </w:rPr>
              <w:t>本项目选址位于</w:t>
            </w:r>
            <w:r>
              <w:rPr>
                <w:rFonts w:hint="eastAsia" w:ascii="Times New Roman" w:hAnsi="Times New Roman" w:eastAsia="宋体" w:cstheme="minorEastAsia"/>
                <w:color w:val="auto"/>
                <w:sz w:val="21"/>
                <w:szCs w:val="24"/>
                <w:highlight w:val="none"/>
                <w:u w:val="none"/>
              </w:rPr>
              <w:t>黑龙江省伊春市铁力市王杨乡西河砖厂西侧哈伊路南，</w:t>
            </w:r>
            <w:r>
              <w:rPr>
                <w:rFonts w:hint="default" w:ascii="Times New Roman" w:hAnsi="Times New Roman" w:eastAsia="宋体" w:cs="Times New Roman"/>
                <w:color w:val="auto"/>
                <w:sz w:val="21"/>
                <w:szCs w:val="24"/>
                <w:highlight w:val="none"/>
                <w:lang w:val="en-US" w:eastAsia="zh-CN"/>
              </w:rPr>
              <w:t>黑龙江省铁力市红博农资销售有限责任公司院内</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val="en-US" w:eastAsia="zh-CN"/>
              </w:rPr>
              <w:t>污染物采取了有效、可行的污染治理措施，各项污染物均可达标排放，本项目建设对周围环境影响较小，因此本项目符合</w:t>
            </w:r>
            <w:r>
              <w:rPr>
                <w:rFonts w:hint="default" w:ascii="Times New Roman" w:hAnsi="Times New Roman" w:eastAsia="宋体" w:cs="Times New Roman"/>
                <w:color w:val="auto"/>
                <w:sz w:val="21"/>
                <w:szCs w:val="24"/>
                <w:highlight w:val="none"/>
                <w:lang w:eastAsia="zh-CN"/>
              </w:rPr>
              <w:t>《</w:t>
            </w:r>
            <w:r>
              <w:rPr>
                <w:rFonts w:hint="eastAsia" w:cs="Times New Roman"/>
                <w:color w:val="auto"/>
                <w:sz w:val="21"/>
                <w:szCs w:val="24"/>
                <w:highlight w:val="none"/>
                <w:lang w:val="en-US" w:eastAsia="zh-CN"/>
              </w:rPr>
              <w:t>伊春</w:t>
            </w:r>
            <w:r>
              <w:rPr>
                <w:rFonts w:hint="default" w:ascii="Times New Roman" w:hAnsi="Times New Roman" w:eastAsia="宋体" w:cs="Times New Roman"/>
                <w:color w:val="auto"/>
                <w:sz w:val="21"/>
                <w:szCs w:val="24"/>
                <w:highlight w:val="none"/>
                <w:lang w:eastAsia="zh-CN"/>
              </w:rPr>
              <w:t>市生态环境准入清单（202</w:t>
            </w:r>
            <w:r>
              <w:rPr>
                <w:rFonts w:hint="default" w:ascii="Times New Roman" w:hAnsi="Times New Roman" w:eastAsia="宋体" w:cs="Times New Roman"/>
                <w:color w:val="auto"/>
                <w:sz w:val="21"/>
                <w:szCs w:val="24"/>
                <w:highlight w:val="none"/>
                <w:lang w:val="en-US" w:eastAsia="zh-CN"/>
              </w:rPr>
              <w:t>3</w:t>
            </w:r>
            <w:r>
              <w:rPr>
                <w:rFonts w:hint="default" w:ascii="Times New Roman" w:hAnsi="Times New Roman" w:eastAsia="宋体" w:cs="Times New Roman"/>
                <w:color w:val="auto"/>
                <w:sz w:val="21"/>
                <w:szCs w:val="24"/>
                <w:highlight w:val="none"/>
                <w:lang w:eastAsia="zh-CN"/>
              </w:rPr>
              <w:t>年版）》</w:t>
            </w:r>
            <w:r>
              <w:rPr>
                <w:rFonts w:hint="default" w:ascii="Times New Roman" w:hAnsi="Times New Roman" w:eastAsia="宋体" w:cs="Times New Roman"/>
                <w:color w:val="auto"/>
                <w:sz w:val="21"/>
                <w:szCs w:val="24"/>
                <w:highlight w:val="none"/>
                <w:lang w:val="en-US" w:eastAsia="zh-CN"/>
              </w:rPr>
              <w:t>要求。</w:t>
            </w:r>
          </w:p>
          <w:p w14:paraId="3F518012">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default" w:ascii="Times New Roman" w:hAnsi="Times New Roman" w:eastAsia="宋体" w:cs="Times New Roman"/>
                <w:b/>
                <w:bCs/>
                <w:color w:val="auto"/>
                <w:kern w:val="0"/>
                <w:sz w:val="21"/>
                <w:szCs w:val="21"/>
                <w:highlight w:val="none"/>
                <w:lang w:eastAsia="zh-CN"/>
              </w:rPr>
            </w:pPr>
            <w:r>
              <w:rPr>
                <w:rFonts w:hint="default" w:ascii="Times New Roman" w:hAnsi="Times New Roman" w:eastAsia="宋体" w:cs="Times New Roman"/>
                <w:b/>
                <w:bCs/>
                <w:color w:val="auto"/>
                <w:kern w:val="0"/>
                <w:sz w:val="21"/>
                <w:szCs w:val="21"/>
                <w:highlight w:val="none"/>
                <w:lang w:val="en-US" w:eastAsia="zh-CN"/>
              </w:rPr>
              <w:t>2、</w:t>
            </w:r>
            <w:r>
              <w:rPr>
                <w:rFonts w:hint="default" w:ascii="Times New Roman" w:hAnsi="Times New Roman" w:eastAsia="宋体" w:cs="Times New Roman"/>
                <w:b/>
                <w:bCs/>
                <w:color w:val="auto"/>
                <w:kern w:val="0"/>
                <w:sz w:val="21"/>
                <w:szCs w:val="21"/>
                <w:highlight w:val="none"/>
                <w:lang w:eastAsia="zh-CN"/>
              </w:rPr>
              <w:t>产业政策符合性分析</w:t>
            </w:r>
          </w:p>
          <w:p w14:paraId="71C691F2">
            <w:pPr>
              <w:keepNext w:val="0"/>
              <w:keepLines w:val="0"/>
              <w:pageBreakBefore w:val="0"/>
              <w:widowControl w:val="0"/>
              <w:kinsoku/>
              <w:wordWrap/>
              <w:overflowPunct/>
              <w:topLinePunct w:val="0"/>
              <w:autoSpaceDE w:val="0"/>
              <w:autoSpaceDN w:val="0"/>
              <w:bidi w:val="0"/>
              <w:adjustRightInd/>
              <w:snapToGrid/>
              <w:spacing w:line="360" w:lineRule="auto"/>
              <w:ind w:right="0" w:firstLine="420" w:firstLineChars="200"/>
              <w:textAlignment w:val="auto"/>
              <w:rPr>
                <w:rFonts w:hint="default" w:ascii="Times New Roman" w:hAnsi="Times New Roman" w:eastAsia="宋体" w:cs="Times New Roman"/>
                <w:color w:val="auto"/>
                <w:kern w:val="21"/>
                <w:sz w:val="21"/>
                <w:szCs w:val="24"/>
                <w:highlight w:val="none"/>
              </w:rPr>
            </w:pPr>
            <w:r>
              <w:rPr>
                <w:rFonts w:hint="default" w:ascii="Times New Roman" w:hAnsi="Times New Roman" w:eastAsia="宋体" w:cs="Times New Roman"/>
                <w:color w:val="auto"/>
                <w:sz w:val="21"/>
                <w:highlight w:val="none"/>
                <w:lang w:val="en-US" w:eastAsia="zh-CN"/>
              </w:rPr>
              <w:t>根据</w:t>
            </w:r>
            <w:r>
              <w:rPr>
                <w:rFonts w:hint="default" w:ascii="Times New Roman" w:hAnsi="Times New Roman" w:eastAsia="宋体" w:cs="Times New Roman"/>
                <w:color w:val="auto"/>
                <w:sz w:val="21"/>
                <w:highlight w:val="none"/>
                <w:lang w:eastAsia="zh-CN"/>
              </w:rPr>
              <w:t>《产业结构调整指导目录》（2024年本），</w:t>
            </w:r>
            <w:r>
              <w:rPr>
                <w:rFonts w:hint="default" w:ascii="Times New Roman" w:hAnsi="Times New Roman" w:eastAsia="宋体" w:cs="Times New Roman"/>
                <w:color w:val="auto"/>
                <w:sz w:val="21"/>
                <w:highlight w:val="none"/>
                <w:lang w:val="en-US" w:eastAsia="zh-CN"/>
              </w:rPr>
              <w:t>本项目不属于其中鼓励类、限制类和淘汰类</w:t>
            </w: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lang w:val="en-US" w:eastAsia="zh-CN"/>
              </w:rPr>
              <w:t>本项目符合国家</w:t>
            </w:r>
            <w:bookmarkStart w:id="14" w:name="OLE_LINK1"/>
            <w:r>
              <w:rPr>
                <w:rFonts w:hint="default" w:ascii="Times New Roman" w:hAnsi="Times New Roman" w:eastAsia="宋体" w:cs="Times New Roman"/>
                <w:color w:val="auto"/>
                <w:sz w:val="21"/>
                <w:highlight w:val="none"/>
                <w:lang w:val="en-US" w:eastAsia="zh-CN"/>
              </w:rPr>
              <w:t>有关法律、法规和政策规定</w:t>
            </w:r>
            <w:bookmarkEnd w:id="14"/>
            <w:r>
              <w:rPr>
                <w:rFonts w:hint="default" w:ascii="Times New Roman" w:hAnsi="Times New Roman" w:eastAsia="宋体" w:cs="Times New Roman"/>
                <w:color w:val="auto"/>
                <w:sz w:val="21"/>
                <w:highlight w:val="none"/>
                <w:lang w:val="en-US" w:eastAsia="zh-CN"/>
              </w:rPr>
              <w:t>的项目，属于允许类项目，</w:t>
            </w:r>
            <w:r>
              <w:rPr>
                <w:rFonts w:hint="default" w:ascii="Times New Roman" w:hAnsi="Times New Roman" w:eastAsia="宋体" w:cs="Times New Roman"/>
                <w:bCs/>
                <w:snapToGrid w:val="0"/>
                <w:color w:val="auto"/>
                <w:kern w:val="0"/>
                <w:sz w:val="21"/>
                <w:szCs w:val="24"/>
                <w:highlight w:val="none"/>
              </w:rPr>
              <w:t>项目建设</w:t>
            </w:r>
            <w:r>
              <w:rPr>
                <w:rFonts w:hint="default" w:ascii="Times New Roman" w:hAnsi="Times New Roman" w:eastAsia="宋体" w:cs="Times New Roman"/>
                <w:bCs/>
                <w:snapToGrid w:val="0"/>
                <w:color w:val="auto"/>
                <w:kern w:val="0"/>
                <w:sz w:val="21"/>
                <w:szCs w:val="24"/>
                <w:highlight w:val="none"/>
                <w:lang w:val="en-US" w:eastAsia="zh-CN"/>
              </w:rPr>
              <w:t>不</w:t>
            </w:r>
            <w:r>
              <w:rPr>
                <w:rFonts w:hint="default" w:ascii="Times New Roman" w:hAnsi="Times New Roman" w:eastAsia="宋体" w:cs="Times New Roman"/>
                <w:bCs/>
                <w:snapToGrid w:val="0"/>
                <w:color w:val="auto"/>
                <w:kern w:val="0"/>
                <w:sz w:val="21"/>
                <w:szCs w:val="24"/>
                <w:highlight w:val="none"/>
              </w:rPr>
              <w:t>使用国家淘汰和限制使用的工艺及设备，</w:t>
            </w:r>
            <w:r>
              <w:rPr>
                <w:rFonts w:hint="default" w:ascii="Times New Roman" w:hAnsi="Times New Roman" w:eastAsia="宋体" w:cs="Times New Roman"/>
                <w:color w:val="auto"/>
                <w:sz w:val="21"/>
                <w:highlight w:val="none"/>
                <w:lang w:val="en-US" w:eastAsia="zh-CN"/>
              </w:rPr>
              <w:t>因此</w:t>
            </w:r>
            <w:r>
              <w:rPr>
                <w:rFonts w:hint="default" w:ascii="Times New Roman" w:hAnsi="Times New Roman" w:eastAsia="宋体" w:cs="Times New Roman"/>
                <w:color w:val="auto"/>
                <w:kern w:val="21"/>
                <w:sz w:val="21"/>
                <w:szCs w:val="24"/>
                <w:highlight w:val="none"/>
              </w:rPr>
              <w:t>本项目符合国家产业政策。</w:t>
            </w:r>
          </w:p>
          <w:p w14:paraId="2984032A">
            <w:pPr>
              <w:pStyle w:val="16"/>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0" w:rightChars="0" w:firstLine="422" w:firstLineChars="200"/>
              <w:textAlignment w:val="auto"/>
              <w:rPr>
                <w:rFonts w:hint="default" w:ascii="Times New Roman" w:hAnsi="Times New Roman" w:eastAsia="宋体" w:cs="Times New Roman"/>
                <w:b/>
                <w:bCs/>
                <w:color w:val="auto"/>
                <w:sz w:val="21"/>
                <w:szCs w:val="24"/>
                <w:highlight w:val="none"/>
                <w:lang w:val="en-US" w:eastAsia="zh-CN"/>
              </w:rPr>
            </w:pPr>
            <w:r>
              <w:rPr>
                <w:rFonts w:hint="default" w:ascii="Times New Roman" w:hAnsi="Times New Roman" w:eastAsia="宋体" w:cs="Times New Roman"/>
                <w:b/>
                <w:bCs/>
                <w:color w:val="auto"/>
                <w:sz w:val="21"/>
                <w:szCs w:val="24"/>
                <w:highlight w:val="none"/>
                <w:lang w:val="en-US" w:eastAsia="zh-CN"/>
              </w:rPr>
              <w:t>3、与《</w:t>
            </w:r>
            <w:r>
              <w:rPr>
                <w:rFonts w:hint="eastAsia" w:cs="Times New Roman"/>
                <w:b/>
                <w:bCs/>
                <w:color w:val="auto"/>
                <w:sz w:val="21"/>
                <w:szCs w:val="21"/>
                <w:highlight w:val="none"/>
                <w:lang w:eastAsia="zh-CN"/>
              </w:rPr>
              <w:t>伊春市空气质量持续改善行动计划实施方案</w:t>
            </w:r>
            <w:r>
              <w:rPr>
                <w:rFonts w:hint="default" w:ascii="Times New Roman" w:hAnsi="Times New Roman" w:eastAsia="宋体" w:cs="Times New Roman"/>
                <w:b/>
                <w:bCs/>
                <w:color w:val="auto"/>
                <w:sz w:val="21"/>
                <w:szCs w:val="24"/>
                <w:highlight w:val="none"/>
                <w:lang w:val="en-US" w:eastAsia="zh-CN"/>
              </w:rPr>
              <w:t>》符合性分析</w:t>
            </w:r>
          </w:p>
          <w:p w14:paraId="7DFA92FF">
            <w:pPr>
              <w:pStyle w:val="16"/>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0" w:rightChars="0" w:firstLine="420" w:firstLineChars="200"/>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sz w:val="21"/>
                <w:szCs w:val="24"/>
                <w:highlight w:val="none"/>
                <w:lang w:val="en-US" w:eastAsia="zh-CN"/>
              </w:rPr>
              <w:t>根据《</w:t>
            </w:r>
            <w:r>
              <w:rPr>
                <w:rFonts w:hint="eastAsia" w:cs="Times New Roman"/>
                <w:color w:val="auto"/>
                <w:sz w:val="21"/>
                <w:szCs w:val="24"/>
                <w:highlight w:val="none"/>
                <w:lang w:val="en-US" w:eastAsia="zh-CN"/>
              </w:rPr>
              <w:t>伊春市</w:t>
            </w:r>
            <w:r>
              <w:rPr>
                <w:rFonts w:hint="default" w:ascii="Times New Roman" w:hAnsi="Times New Roman" w:eastAsia="宋体" w:cs="Times New Roman"/>
                <w:color w:val="auto"/>
                <w:sz w:val="21"/>
                <w:szCs w:val="24"/>
                <w:highlight w:val="none"/>
                <w:lang w:val="en-US" w:eastAsia="zh-CN"/>
              </w:rPr>
              <w:t>空气质量持续改善行动计划实施方案》，</w:t>
            </w:r>
            <w:r>
              <w:rPr>
                <w:rFonts w:hint="eastAsia" w:ascii="Times New Roman" w:hAnsi="Times New Roman" w:eastAsia="宋体" w:cs="Times New Roman"/>
                <w:color w:val="auto"/>
                <w:sz w:val="21"/>
                <w:szCs w:val="21"/>
                <w:highlight w:val="none"/>
              </w:rPr>
              <w:t>加快重点行业落后产能淘汰退出。严格执行《产业结构调整指导目录》要求，加快引导将污染物或温室气体排放明显高出行业平均水平、能效以及清洁生产水平低的工艺及装备纳入淘汰类和限制类名单。</w:t>
            </w:r>
          </w:p>
          <w:p w14:paraId="70FF4689">
            <w:pPr>
              <w:keepNext w:val="0"/>
              <w:keepLines w:val="0"/>
              <w:pageBreakBefore w:val="0"/>
              <w:kinsoku/>
              <w:wordWrap/>
              <w:overflowPunct/>
              <w:topLinePunct w:val="0"/>
              <w:autoSpaceDE/>
              <w:autoSpaceDN/>
              <w:bidi w:val="0"/>
              <w:adjustRightInd/>
              <w:spacing w:line="360" w:lineRule="auto"/>
              <w:ind w:firstLine="420" w:firstLineChars="200"/>
              <w:textAlignment w:val="auto"/>
              <w:rPr>
                <w:rFonts w:hint="default" w:ascii="Times New Roman" w:hAnsi="Times New Roman" w:eastAsia="宋体" w:cs="Times New Roman"/>
                <w:color w:val="auto"/>
                <w:sz w:val="21"/>
                <w:highlight w:val="none"/>
                <w:lang w:val="en-US" w:eastAsia="zh-CN"/>
              </w:rPr>
            </w:pPr>
            <w:r>
              <w:rPr>
                <w:rFonts w:hint="eastAsia" w:cs="Times New Roman"/>
                <w:color w:val="auto"/>
                <w:kern w:val="0"/>
                <w:sz w:val="21"/>
                <w:szCs w:val="21"/>
                <w:highlight w:val="none"/>
                <w:lang w:val="en-US" w:eastAsia="zh-CN"/>
              </w:rPr>
              <w:t>本项目现有一台2.8MW燃煤锅炉</w:t>
            </w:r>
            <w:r>
              <w:rPr>
                <w:rFonts w:hint="default" w:ascii="Times New Roman" w:hAnsi="Times New Roman" w:eastAsia="宋体" w:cs="Times New Roman"/>
                <w:color w:val="auto"/>
                <w:kern w:val="0"/>
                <w:sz w:val="21"/>
                <w:szCs w:val="24"/>
                <w:highlight w:val="none"/>
                <w:lang w:val="en-US" w:eastAsia="zh-CN" w:bidi="ar"/>
              </w:rPr>
              <w:t>，</w:t>
            </w:r>
            <w:r>
              <w:rPr>
                <w:rFonts w:hint="eastAsia" w:cs="Times New Roman"/>
                <w:color w:val="auto"/>
                <w:kern w:val="0"/>
                <w:sz w:val="21"/>
                <w:szCs w:val="24"/>
                <w:highlight w:val="none"/>
                <w:lang w:val="en-US" w:eastAsia="zh-CN" w:bidi="ar"/>
              </w:rPr>
              <w:t>属于</w:t>
            </w:r>
            <w:r>
              <w:rPr>
                <w:rFonts w:hint="eastAsia" w:ascii="Times New Roman" w:hAnsi="Times New Roman" w:eastAsia="宋体" w:cs="Times New Roman"/>
                <w:color w:val="auto"/>
                <w:sz w:val="21"/>
                <w:szCs w:val="21"/>
                <w:highlight w:val="none"/>
              </w:rPr>
              <w:t>《产业结构调整指导目录》</w:t>
            </w:r>
            <w:r>
              <w:rPr>
                <w:rFonts w:hint="eastAsia" w:ascii="Times New Roman" w:hAnsi="Times New Roman" w:eastAsia="宋体" w:cs="Times New Roman"/>
                <w:color w:val="auto"/>
                <w:sz w:val="21"/>
                <w:szCs w:val="21"/>
                <w:highlight w:val="none"/>
                <w:lang w:val="en-US" w:eastAsia="zh-CN"/>
              </w:rPr>
              <w:t>2024年本中的淘汰类，现将</w:t>
            </w:r>
            <w:r>
              <w:rPr>
                <w:rFonts w:hint="eastAsia" w:cs="Times New Roman"/>
                <w:color w:val="auto"/>
                <w:kern w:val="0"/>
                <w:sz w:val="21"/>
                <w:szCs w:val="21"/>
                <w:highlight w:val="none"/>
                <w:lang w:val="en-US" w:eastAsia="zh-CN"/>
              </w:rPr>
              <w:t>2.8MW</w:t>
            </w:r>
            <w:r>
              <w:rPr>
                <w:rFonts w:hint="eastAsia" w:ascii="Times New Roman" w:hAnsi="Times New Roman" w:eastAsia="宋体" w:cs="Times New Roman"/>
                <w:color w:val="auto"/>
                <w:sz w:val="21"/>
                <w:szCs w:val="21"/>
                <w:highlight w:val="none"/>
                <w:lang w:val="en-US" w:eastAsia="zh-CN"/>
              </w:rPr>
              <w:t>燃煤锅炉改造成生物质锅炉，</w:t>
            </w:r>
            <w:r>
              <w:rPr>
                <w:rFonts w:hint="default" w:ascii="Times New Roman" w:hAnsi="Times New Roman" w:eastAsia="宋体" w:cs="Times New Roman"/>
                <w:color w:val="auto"/>
                <w:kern w:val="0"/>
                <w:sz w:val="21"/>
                <w:szCs w:val="24"/>
                <w:highlight w:val="none"/>
                <w:lang w:val="en-US" w:eastAsia="zh-CN" w:bidi="ar"/>
              </w:rPr>
              <w:t>本项目符合</w:t>
            </w:r>
            <w:r>
              <w:rPr>
                <w:rFonts w:hint="default" w:ascii="Times New Roman" w:hAnsi="Times New Roman" w:eastAsia="宋体" w:cs="Times New Roman"/>
                <w:color w:val="auto"/>
                <w:sz w:val="21"/>
                <w:szCs w:val="24"/>
                <w:highlight w:val="none"/>
                <w:lang w:val="en-US" w:eastAsia="zh-CN"/>
              </w:rPr>
              <w:t>《</w:t>
            </w:r>
            <w:r>
              <w:rPr>
                <w:rFonts w:hint="eastAsia" w:cs="Times New Roman"/>
                <w:color w:val="auto"/>
                <w:sz w:val="21"/>
                <w:szCs w:val="24"/>
                <w:highlight w:val="none"/>
                <w:lang w:val="en-US" w:eastAsia="zh-CN"/>
              </w:rPr>
              <w:t>伊春市</w:t>
            </w:r>
            <w:r>
              <w:rPr>
                <w:rFonts w:hint="default" w:ascii="Times New Roman" w:hAnsi="Times New Roman" w:eastAsia="宋体" w:cs="Times New Roman"/>
                <w:color w:val="auto"/>
                <w:sz w:val="21"/>
                <w:szCs w:val="24"/>
                <w:highlight w:val="none"/>
                <w:lang w:val="en-US" w:eastAsia="zh-CN"/>
              </w:rPr>
              <w:t>空气质量持续改善行动计划实施方案》。</w:t>
            </w:r>
          </w:p>
          <w:p w14:paraId="4016815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firstLine="422" w:firstLineChars="200"/>
              <w:jc w:val="left"/>
              <w:textAlignment w:val="auto"/>
              <w:rPr>
                <w:rFonts w:hint="default" w:ascii="Times New Roman" w:hAnsi="Times New Roman" w:eastAsia="宋体" w:cs="Times New Roman"/>
                <w:b/>
                <w:bCs/>
                <w:color w:val="auto"/>
                <w:kern w:val="0"/>
                <w:sz w:val="21"/>
                <w:szCs w:val="24"/>
                <w:highlight w:val="none"/>
                <w:lang w:val="en-US" w:eastAsia="zh-CN" w:bidi="ar"/>
              </w:rPr>
            </w:pPr>
            <w:r>
              <w:rPr>
                <w:rFonts w:hint="default" w:ascii="Times New Roman" w:hAnsi="Times New Roman" w:eastAsia="宋体" w:cs="Times New Roman"/>
                <w:b/>
                <w:bCs/>
                <w:color w:val="auto"/>
                <w:kern w:val="0"/>
                <w:sz w:val="21"/>
                <w:szCs w:val="24"/>
                <w:highlight w:val="none"/>
                <w:lang w:val="en-US" w:eastAsia="zh-CN" w:bidi="ar"/>
              </w:rPr>
              <w:t>4、与《黑龙江省人民代表大会常务委员会关于修改〈黑龙江省大气污染防治条例〉的决定》（2018年12月27日）符合性分析</w:t>
            </w:r>
          </w:p>
          <w:p w14:paraId="566A6669">
            <w:pPr>
              <w:keepNext w:val="0"/>
              <w:keepLines w:val="0"/>
              <w:widowControl/>
              <w:numPr>
                <w:ilvl w:val="0"/>
                <w:numId w:val="0"/>
              </w:numPr>
              <w:suppressLineNumbers w:val="0"/>
              <w:spacing w:line="360" w:lineRule="auto"/>
              <w:ind w:firstLine="420" w:firstLineChars="200"/>
              <w:jc w:val="left"/>
              <w:rPr>
                <w:rFonts w:hint="default" w:ascii="Times New Roman" w:hAnsi="Times New Roman" w:eastAsia="宋体" w:cs="Times New Roman"/>
                <w:color w:val="auto"/>
                <w:kern w:val="0"/>
                <w:sz w:val="21"/>
                <w:szCs w:val="24"/>
                <w:highlight w:val="none"/>
                <w:lang w:val="en-US" w:eastAsia="zh-CN" w:bidi="ar"/>
              </w:rPr>
            </w:pPr>
            <w:r>
              <w:rPr>
                <w:rFonts w:hint="default" w:ascii="Times New Roman" w:hAnsi="Times New Roman" w:eastAsia="宋体" w:cs="Times New Roman"/>
                <w:color w:val="auto"/>
                <w:kern w:val="0"/>
                <w:sz w:val="21"/>
                <w:szCs w:val="24"/>
                <w:highlight w:val="none"/>
                <w:lang w:val="en-US" w:eastAsia="zh-CN" w:bidi="ar"/>
              </w:rPr>
              <w:t>在条例中“第三章大气污染防治措施，第一节 燃煤污染防治”中“第三十二条要求燃煤电厂、燃煤供热锅炉以及其他燃煤单位，应当采用清洁生产工艺，配套建设除尘、脱硫、脱硝等装置或者采用技术改造等措施，减少大气污染物的产生和排放，排放的大气污染物应当达到规定标准。”“第三十三条要求设区的市级城市建成区内，禁止新建额定蒸发量低于每小时二十吨或者额定功率低于十四兆瓦的燃煤锅炉；已经建成的额定蒸发量每小时十吨以下或者额定功率七兆瓦以下的燃煤锅炉，应当在国家规定的期限内淘汰。国家对新建和淘汰燃煤锅炉另有规定的，从其规定。”，“第三十五条要求设区的市级人民政府和县级人民政府应当积极推进棚户区改造，推行热电联产和区域锅炉等集中供热方式，逐步提高集中供热比例，制定计划将应当淘汰的分散燃煤锅炉供热区域纳入集中供热管网覆盖范围，并负责组织实施。在集中供热管网未覆盖的区域，推广使用高效节能环保型锅炉或者进行锅炉高效除尘改造，或者使用新能源、清洁能源供热。”</w:t>
            </w:r>
          </w:p>
          <w:p w14:paraId="7697D45E">
            <w:pPr>
              <w:keepNext w:val="0"/>
              <w:keepLines w:val="0"/>
              <w:widowControl/>
              <w:suppressLineNumbers w:val="0"/>
              <w:spacing w:line="360" w:lineRule="auto"/>
              <w:ind w:firstLine="420" w:firstLineChars="200"/>
              <w:jc w:val="left"/>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kern w:val="0"/>
                <w:sz w:val="21"/>
                <w:szCs w:val="24"/>
                <w:highlight w:val="none"/>
                <w:lang w:val="en-US" w:eastAsia="zh-CN" w:bidi="ar"/>
              </w:rPr>
              <w:t>本项目建设1台2.8MW燃</w:t>
            </w:r>
            <w:r>
              <w:rPr>
                <w:rFonts w:hint="default" w:ascii="Times New Roman" w:hAnsi="Times New Roman" w:eastAsia="宋体" w:cs="Times New Roman"/>
                <w:color w:val="auto"/>
                <w:sz w:val="21"/>
                <w:highlight w:val="none"/>
              </w:rPr>
              <w:t>生物质</w:t>
            </w:r>
            <w:r>
              <w:rPr>
                <w:rFonts w:hint="default" w:ascii="Times New Roman" w:hAnsi="Times New Roman" w:eastAsia="宋体" w:cs="Times New Roman"/>
                <w:color w:val="auto"/>
                <w:sz w:val="21"/>
                <w:highlight w:val="none"/>
                <w:lang w:val="en-US" w:eastAsia="zh-CN"/>
              </w:rPr>
              <w:t>专用</w:t>
            </w:r>
            <w:r>
              <w:rPr>
                <w:rFonts w:hint="default" w:ascii="Times New Roman" w:hAnsi="Times New Roman" w:eastAsia="宋体" w:cs="Times New Roman"/>
                <w:color w:val="auto"/>
                <w:sz w:val="21"/>
                <w:highlight w:val="none"/>
              </w:rPr>
              <w:t>锅炉</w:t>
            </w:r>
            <w:r>
              <w:rPr>
                <w:rFonts w:hint="default" w:ascii="Times New Roman" w:hAnsi="Times New Roman" w:eastAsia="宋体" w:cs="Times New Roman"/>
                <w:color w:val="auto"/>
                <w:kern w:val="0"/>
                <w:sz w:val="21"/>
                <w:szCs w:val="24"/>
                <w:highlight w:val="none"/>
                <w:lang w:val="en-US" w:eastAsia="zh-CN" w:bidi="ar"/>
              </w:rPr>
              <w:t>，锅炉烟气经过</w:t>
            </w:r>
            <w:r>
              <w:rPr>
                <w:rFonts w:hint="default" w:ascii="Times New Roman" w:hAnsi="Times New Roman" w:eastAsia="宋体" w:cs="Times New Roman"/>
                <w:color w:val="auto"/>
                <w:kern w:val="0"/>
                <w:sz w:val="21"/>
                <w:szCs w:val="21"/>
                <w:highlight w:val="none"/>
                <w:lang w:val="en-US" w:eastAsia="zh-CN"/>
              </w:rPr>
              <w:t>旋风除尘器+</w:t>
            </w:r>
            <w:r>
              <w:rPr>
                <w:rFonts w:hint="default" w:ascii="Times New Roman" w:hAnsi="Times New Roman" w:eastAsia="宋体" w:cs="Times New Roman"/>
                <w:color w:val="auto"/>
                <w:kern w:val="0"/>
                <w:sz w:val="21"/>
                <w:szCs w:val="24"/>
                <w:highlight w:val="none"/>
                <w:lang w:val="en-US" w:eastAsia="zh-CN" w:bidi="ar"/>
              </w:rPr>
              <w:t>布袋除尘器处理后通过</w:t>
            </w:r>
            <w:r>
              <w:rPr>
                <w:rFonts w:hint="eastAsia" w:cs="Times New Roman"/>
                <w:color w:val="auto"/>
                <w:kern w:val="0"/>
                <w:sz w:val="21"/>
                <w:szCs w:val="24"/>
                <w:highlight w:val="none"/>
                <w:lang w:val="en-US" w:eastAsia="zh-CN" w:bidi="ar"/>
              </w:rPr>
              <w:t>35m</w:t>
            </w:r>
            <w:r>
              <w:rPr>
                <w:rFonts w:hint="default" w:ascii="Times New Roman" w:hAnsi="Times New Roman" w:eastAsia="宋体" w:cs="Times New Roman"/>
                <w:color w:val="auto"/>
                <w:kern w:val="0"/>
                <w:sz w:val="21"/>
                <w:szCs w:val="24"/>
                <w:highlight w:val="none"/>
                <w:lang w:val="en-US" w:eastAsia="zh-CN" w:bidi="ar"/>
              </w:rPr>
              <w:t>烟囱（DA001）排放，燃料为生物质成型颗粒，不使用原煤，综上，本项目的建设符合《黑龙江省人民代表大会常务委员会关于修改〈黑龙江省大气污染防治条例〉的决定》（2018年12月27日）的环境管理要求。</w:t>
            </w:r>
          </w:p>
          <w:p w14:paraId="0F6A4889">
            <w:pPr>
              <w:keepNext w:val="0"/>
              <w:keepLines w:val="0"/>
              <w:widowControl/>
              <w:suppressLineNumbers w:val="0"/>
              <w:spacing w:line="360" w:lineRule="auto"/>
              <w:ind w:firstLine="211" w:firstLineChars="100"/>
              <w:jc w:val="left"/>
              <w:rPr>
                <w:rFonts w:hint="default" w:ascii="Times New Roman" w:hAnsi="Times New Roman" w:eastAsia="宋体" w:cs="Times New Roman"/>
                <w:b/>
                <w:bCs/>
                <w:color w:val="auto"/>
                <w:sz w:val="21"/>
                <w:szCs w:val="24"/>
                <w:highlight w:val="none"/>
              </w:rPr>
            </w:pPr>
            <w:r>
              <w:rPr>
                <w:rFonts w:hint="default" w:ascii="Times New Roman" w:hAnsi="Times New Roman" w:eastAsia="宋体" w:cs="Times New Roman"/>
                <w:b/>
                <w:bCs/>
                <w:color w:val="auto"/>
                <w:kern w:val="0"/>
                <w:sz w:val="21"/>
                <w:szCs w:val="24"/>
                <w:highlight w:val="none"/>
                <w:lang w:val="en-US" w:eastAsia="zh-CN"/>
              </w:rPr>
              <w:t>5、</w:t>
            </w:r>
            <w:r>
              <w:rPr>
                <w:rFonts w:hint="default" w:ascii="Times New Roman" w:hAnsi="Times New Roman" w:eastAsia="宋体" w:cs="Times New Roman"/>
                <w:b/>
                <w:bCs/>
                <w:color w:val="auto"/>
                <w:kern w:val="0"/>
                <w:sz w:val="21"/>
                <w:szCs w:val="24"/>
                <w:highlight w:val="none"/>
                <w:lang w:val="en-US" w:eastAsia="zh-CN" w:bidi="ar"/>
              </w:rPr>
              <w:t>与《黑龙江省大气污染防治行动计划实施细则》的符合性分析</w:t>
            </w:r>
          </w:p>
          <w:p w14:paraId="5CDB0468">
            <w:pPr>
              <w:keepNext w:val="0"/>
              <w:keepLines w:val="0"/>
              <w:widowControl/>
              <w:suppressLineNumbers w:val="0"/>
              <w:spacing w:line="360" w:lineRule="auto"/>
              <w:ind w:firstLine="420" w:firstLineChars="200"/>
              <w:jc w:val="left"/>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kern w:val="0"/>
                <w:sz w:val="21"/>
                <w:szCs w:val="24"/>
                <w:highlight w:val="none"/>
                <w:lang w:val="en-US" w:eastAsia="zh-CN" w:bidi="ar"/>
              </w:rPr>
              <w:t>根据《黑龙江省大气污染防治行动计划实施细则》，加大集中供热工程建设，淘汰分散燃煤小锅炉。积极推进“三供两治”工程项目建设，加大城市及周边现有燃煤发电机组的供热改造力度，推进大型集中供热企业接收分散供热小锅炉，拔除小烟筒。积极推进城镇供热锅炉并网工作，加快完善热网和热源基础设施建设及供热老旧管网改造，提高集中供热管网输送能力，扩大集中供热面积，争取到2015 年年底，全省县级以上城市集中供热普及率达到70%以上。到2017年年底，全省城市建成区集中供热普及率达到 73% 以上。从2014年起，禁止新建20蒸吨以下燃煤锅炉。到2015年年底，除必要保留外，全省地级以上城市建成区基本淘汰10蒸吨 及以下燃煤锅炉。加快推进工业企业集中供热工作，到2017年年底，现有各类工业园区与工业集中区应基本完成热电联产或集中 供热改造。供热供气管网覆盖不到的城乡结合部，要改用电、新能源、洁净煤或再生能源，推广应用高效节能环保型锅炉。且抛煤机和往复炉排等层燃锅炉要使用含硫量低于</w:t>
            </w:r>
            <w:r>
              <w:rPr>
                <w:rFonts w:hint="eastAsia" w:cs="Times New Roman"/>
                <w:color w:val="auto"/>
                <w:kern w:val="0"/>
                <w:sz w:val="21"/>
                <w:szCs w:val="24"/>
                <w:highlight w:val="none"/>
                <w:lang w:val="en-US" w:eastAsia="zh-CN" w:bidi="ar"/>
              </w:rPr>
              <w:t>0</w:t>
            </w:r>
            <w:r>
              <w:rPr>
                <w:rFonts w:hint="default" w:ascii="Times New Roman" w:hAnsi="Times New Roman" w:eastAsia="宋体" w:cs="Times New Roman"/>
                <w:color w:val="auto"/>
                <w:kern w:val="0"/>
                <w:sz w:val="21"/>
                <w:szCs w:val="24"/>
                <w:highlight w:val="none"/>
                <w:lang w:val="en-US" w:eastAsia="zh-CN" w:bidi="ar"/>
              </w:rPr>
              <w:t>.5%、灰分小于27%、全水分15%以下、低位发热量不低于4700千卡/公斤的洁净配煤，并综合考虑加大动力煤洗选力度、清洁能源替代等多种措施。冲天炉完成电炉改造，或实施每小时5吨以上热风炉和湿式除尘器改造，实现稳定达标排放。燃煤窑炉完成煤气发生炉、水煤浆燃烧器等技术改造或使用清洁能源，实现达标排放。</w:t>
            </w:r>
          </w:p>
          <w:p w14:paraId="7F419C4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eastAsia="宋体" w:cs="Times New Roman"/>
                <w:color w:val="auto"/>
                <w:kern w:val="0"/>
                <w:sz w:val="21"/>
                <w:szCs w:val="24"/>
                <w:highlight w:val="none"/>
                <w:lang w:eastAsia="zh-CN"/>
              </w:rPr>
            </w:pPr>
            <w:r>
              <w:rPr>
                <w:rFonts w:hint="default" w:ascii="Times New Roman" w:hAnsi="Times New Roman" w:eastAsia="宋体" w:cs="Times New Roman"/>
                <w:color w:val="auto"/>
                <w:kern w:val="0"/>
                <w:sz w:val="21"/>
                <w:szCs w:val="24"/>
                <w:highlight w:val="none"/>
                <w:lang w:val="en-US" w:eastAsia="zh-CN" w:bidi="ar"/>
              </w:rPr>
              <w:t>本项目建设1台2.8MW燃</w:t>
            </w:r>
            <w:r>
              <w:rPr>
                <w:rFonts w:hint="default" w:ascii="Times New Roman" w:hAnsi="Times New Roman" w:eastAsia="宋体" w:cs="Times New Roman"/>
                <w:color w:val="auto"/>
                <w:sz w:val="21"/>
                <w:highlight w:val="none"/>
              </w:rPr>
              <w:t>生物质</w:t>
            </w:r>
            <w:r>
              <w:rPr>
                <w:rFonts w:hint="default" w:ascii="Times New Roman" w:hAnsi="Times New Roman" w:eastAsia="宋体" w:cs="Times New Roman"/>
                <w:color w:val="auto"/>
                <w:sz w:val="21"/>
                <w:highlight w:val="none"/>
                <w:lang w:val="en-US" w:eastAsia="zh-CN"/>
              </w:rPr>
              <w:t>专用</w:t>
            </w:r>
            <w:r>
              <w:rPr>
                <w:rFonts w:hint="default" w:ascii="Times New Roman" w:hAnsi="Times New Roman" w:eastAsia="宋体" w:cs="Times New Roman"/>
                <w:color w:val="auto"/>
                <w:sz w:val="21"/>
                <w:highlight w:val="none"/>
              </w:rPr>
              <w:t>锅炉</w:t>
            </w:r>
            <w:r>
              <w:rPr>
                <w:rFonts w:hint="default" w:ascii="Times New Roman" w:hAnsi="Times New Roman" w:eastAsia="宋体" w:cs="Times New Roman"/>
                <w:color w:val="auto"/>
                <w:kern w:val="0"/>
                <w:sz w:val="21"/>
                <w:szCs w:val="24"/>
                <w:highlight w:val="none"/>
                <w:lang w:val="en-US" w:eastAsia="zh-CN" w:bidi="ar"/>
              </w:rPr>
              <w:t>，锅炉烟气经过</w:t>
            </w:r>
            <w:r>
              <w:rPr>
                <w:rFonts w:hint="default" w:ascii="Times New Roman" w:hAnsi="Times New Roman" w:eastAsia="宋体" w:cs="Times New Roman"/>
                <w:color w:val="auto"/>
                <w:kern w:val="0"/>
                <w:sz w:val="21"/>
                <w:szCs w:val="21"/>
                <w:highlight w:val="none"/>
                <w:lang w:val="en-US" w:eastAsia="zh-CN"/>
              </w:rPr>
              <w:t>旋风除尘器+</w:t>
            </w:r>
            <w:r>
              <w:rPr>
                <w:rFonts w:hint="default" w:ascii="Times New Roman" w:hAnsi="Times New Roman" w:eastAsia="宋体" w:cs="Times New Roman"/>
                <w:color w:val="auto"/>
                <w:kern w:val="0"/>
                <w:sz w:val="21"/>
                <w:szCs w:val="24"/>
                <w:highlight w:val="none"/>
                <w:lang w:val="en-US" w:eastAsia="zh-CN" w:bidi="ar"/>
              </w:rPr>
              <w:t>布袋除尘器处理后通过</w:t>
            </w:r>
            <w:r>
              <w:rPr>
                <w:rFonts w:hint="eastAsia" w:cs="Times New Roman"/>
                <w:color w:val="auto"/>
                <w:kern w:val="0"/>
                <w:sz w:val="21"/>
                <w:szCs w:val="24"/>
                <w:highlight w:val="none"/>
                <w:lang w:val="en-US" w:eastAsia="zh-CN" w:bidi="ar"/>
              </w:rPr>
              <w:t>35m</w:t>
            </w:r>
            <w:r>
              <w:rPr>
                <w:rFonts w:hint="default" w:ascii="Times New Roman" w:hAnsi="Times New Roman" w:eastAsia="宋体" w:cs="Times New Roman"/>
                <w:color w:val="auto"/>
                <w:kern w:val="0"/>
                <w:sz w:val="21"/>
                <w:szCs w:val="24"/>
                <w:highlight w:val="none"/>
                <w:lang w:val="en-US" w:eastAsia="zh-CN" w:bidi="ar"/>
              </w:rPr>
              <w:t>烟囱（DA001）排放，燃料为生物质成型颗粒，不使用原煤，综上，本项目的建设</w:t>
            </w:r>
            <w:r>
              <w:rPr>
                <w:rFonts w:hint="default" w:ascii="Times New Roman" w:hAnsi="Times New Roman" w:eastAsia="宋体" w:cs="Times New Roman"/>
                <w:b w:val="0"/>
                <w:bCs w:val="0"/>
                <w:color w:val="auto"/>
                <w:kern w:val="0"/>
                <w:sz w:val="21"/>
                <w:szCs w:val="24"/>
                <w:highlight w:val="none"/>
                <w:lang w:val="en-US" w:eastAsia="zh-CN" w:bidi="ar"/>
              </w:rPr>
              <w:t>符合《黑龙江省大气污染防治行动计划实施细则》。</w:t>
            </w:r>
          </w:p>
          <w:p w14:paraId="23A467F8">
            <w:pPr>
              <w:keepNext w:val="0"/>
              <w:keepLines w:val="0"/>
              <w:widowControl/>
              <w:suppressLineNumbers w:val="0"/>
              <w:spacing w:line="360" w:lineRule="auto"/>
              <w:ind w:firstLine="422" w:firstLineChars="200"/>
              <w:jc w:val="left"/>
              <w:rPr>
                <w:rFonts w:hint="default" w:ascii="Times New Roman" w:hAnsi="Times New Roman" w:eastAsia="宋体" w:cs="Times New Roman"/>
                <w:b/>
                <w:bCs/>
                <w:color w:val="auto"/>
                <w:sz w:val="21"/>
                <w:szCs w:val="24"/>
                <w:highlight w:val="none"/>
              </w:rPr>
            </w:pPr>
            <w:r>
              <w:rPr>
                <w:rFonts w:hint="default" w:ascii="Times New Roman" w:hAnsi="Times New Roman" w:eastAsia="宋体" w:cs="Times New Roman"/>
                <w:b/>
                <w:bCs/>
                <w:color w:val="auto"/>
                <w:kern w:val="0"/>
                <w:sz w:val="21"/>
                <w:szCs w:val="24"/>
                <w:highlight w:val="none"/>
                <w:lang w:val="en-US" w:eastAsia="zh-CN" w:bidi="ar"/>
              </w:rPr>
              <w:t>6、与《环境空气细颗粒物污染物污染综合防治技术政策》符合性分析</w:t>
            </w:r>
          </w:p>
          <w:p w14:paraId="335DF2B4">
            <w:pPr>
              <w:keepNext w:val="0"/>
              <w:keepLines w:val="0"/>
              <w:widowControl/>
              <w:suppressLineNumbers w:val="0"/>
              <w:spacing w:line="360" w:lineRule="auto"/>
              <w:ind w:firstLine="420" w:firstLineChars="200"/>
              <w:jc w:val="left"/>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kern w:val="0"/>
                <w:sz w:val="21"/>
                <w:szCs w:val="24"/>
                <w:highlight w:val="none"/>
                <w:lang w:val="en-US" w:eastAsia="zh-CN" w:bidi="ar"/>
              </w:rPr>
              <w:t>根据《环境空气细颗粒物污染物污染综合防治技术政策》中“三、防治工业污染 (十三)对于排放细颗粒物的工业污染源，应按照生产工艺、排放方式和烟(废)气组成的特点，选取适用的污染防治技术。工业污染源有组织排放的颗粒物，宜采取袋除尘、电除尘、电袋除尘等高效除尘技术，鼓励火电机组和大型燃煤锅炉采用湿式电除尘等新技术”及“六、防治生活污染(二十八)在城市郊区和农村地区，推广使用清洁能源和高效节能锅炉，有条件的地区宜发展集中供暖或地热等采暖方式，以替代小型燃煤、燃油取暖炉，减轻面源污染。”要求。</w:t>
            </w:r>
          </w:p>
          <w:p w14:paraId="674C6CA8">
            <w:pPr>
              <w:keepNext w:val="0"/>
              <w:keepLines w:val="0"/>
              <w:widowControl/>
              <w:suppressLineNumbers w:val="0"/>
              <w:spacing w:line="360" w:lineRule="auto"/>
              <w:ind w:firstLine="420" w:firstLineChars="200"/>
              <w:jc w:val="left"/>
              <w:rPr>
                <w:rFonts w:hint="default" w:ascii="Times New Roman" w:hAnsi="Times New Roman" w:eastAsia="宋体" w:cs="Times New Roman"/>
                <w:color w:val="auto"/>
                <w:sz w:val="21"/>
                <w:szCs w:val="24"/>
                <w:highlight w:val="none"/>
                <w:lang w:val="en-US"/>
              </w:rPr>
            </w:pPr>
            <w:r>
              <w:rPr>
                <w:rFonts w:hint="default" w:ascii="Times New Roman" w:hAnsi="Times New Roman" w:eastAsia="宋体" w:cs="Times New Roman"/>
                <w:color w:val="auto"/>
                <w:kern w:val="0"/>
                <w:sz w:val="21"/>
                <w:szCs w:val="24"/>
                <w:highlight w:val="none"/>
                <w:lang w:val="en-US" w:eastAsia="zh-CN" w:bidi="ar"/>
              </w:rPr>
              <w:t>符合性分析：本项目建设1台2.8MW燃</w:t>
            </w:r>
            <w:r>
              <w:rPr>
                <w:rFonts w:hint="default" w:ascii="Times New Roman" w:hAnsi="Times New Roman" w:eastAsia="宋体" w:cs="Times New Roman"/>
                <w:color w:val="auto"/>
                <w:sz w:val="21"/>
                <w:highlight w:val="none"/>
              </w:rPr>
              <w:t>生物质</w:t>
            </w:r>
            <w:r>
              <w:rPr>
                <w:rFonts w:hint="default" w:ascii="Times New Roman" w:hAnsi="Times New Roman" w:eastAsia="宋体" w:cs="Times New Roman"/>
                <w:color w:val="auto"/>
                <w:sz w:val="21"/>
                <w:highlight w:val="none"/>
                <w:lang w:val="en-US" w:eastAsia="zh-CN"/>
              </w:rPr>
              <w:t>专用</w:t>
            </w:r>
            <w:r>
              <w:rPr>
                <w:rFonts w:hint="default" w:ascii="Times New Roman" w:hAnsi="Times New Roman" w:eastAsia="宋体" w:cs="Times New Roman"/>
                <w:color w:val="auto"/>
                <w:sz w:val="21"/>
                <w:highlight w:val="none"/>
              </w:rPr>
              <w:t>锅炉</w:t>
            </w:r>
            <w:r>
              <w:rPr>
                <w:rFonts w:hint="default" w:ascii="Times New Roman" w:hAnsi="Times New Roman" w:eastAsia="宋体" w:cs="Times New Roman"/>
                <w:color w:val="auto"/>
                <w:kern w:val="0"/>
                <w:sz w:val="21"/>
                <w:szCs w:val="24"/>
                <w:highlight w:val="none"/>
                <w:lang w:val="en-US" w:eastAsia="zh-CN" w:bidi="ar"/>
              </w:rPr>
              <w:t>，锅炉烟气经过</w:t>
            </w:r>
            <w:r>
              <w:rPr>
                <w:rFonts w:hint="default" w:ascii="Times New Roman" w:hAnsi="Times New Roman" w:eastAsia="宋体" w:cs="Times New Roman"/>
                <w:color w:val="auto"/>
                <w:kern w:val="0"/>
                <w:sz w:val="21"/>
                <w:szCs w:val="21"/>
                <w:highlight w:val="none"/>
                <w:lang w:val="en-US" w:eastAsia="zh-CN"/>
              </w:rPr>
              <w:t>旋风除尘器+</w:t>
            </w:r>
            <w:r>
              <w:rPr>
                <w:rFonts w:hint="default" w:ascii="Times New Roman" w:hAnsi="Times New Roman" w:eastAsia="宋体" w:cs="Times New Roman"/>
                <w:color w:val="auto"/>
                <w:kern w:val="0"/>
                <w:sz w:val="21"/>
                <w:szCs w:val="24"/>
                <w:highlight w:val="none"/>
                <w:lang w:val="en-US" w:eastAsia="zh-CN" w:bidi="ar"/>
              </w:rPr>
              <w:t>布袋除尘器处理后通过</w:t>
            </w:r>
            <w:r>
              <w:rPr>
                <w:rFonts w:hint="eastAsia" w:cs="Times New Roman"/>
                <w:color w:val="auto"/>
                <w:kern w:val="0"/>
                <w:sz w:val="21"/>
                <w:szCs w:val="24"/>
                <w:highlight w:val="none"/>
                <w:lang w:val="en-US" w:eastAsia="zh-CN" w:bidi="ar"/>
              </w:rPr>
              <w:t>35m</w:t>
            </w:r>
            <w:r>
              <w:rPr>
                <w:rFonts w:hint="default" w:ascii="Times New Roman" w:hAnsi="Times New Roman" w:eastAsia="宋体" w:cs="Times New Roman"/>
                <w:color w:val="auto"/>
                <w:kern w:val="0"/>
                <w:sz w:val="21"/>
                <w:szCs w:val="24"/>
                <w:highlight w:val="none"/>
                <w:lang w:val="en-US" w:eastAsia="zh-CN" w:bidi="ar"/>
              </w:rPr>
              <w:t>烟囱（DA001）排放。烟气处理后颗粒物、SO</w:t>
            </w:r>
            <w:r>
              <w:rPr>
                <w:rFonts w:hint="default" w:ascii="Times New Roman" w:hAnsi="Times New Roman" w:eastAsia="宋体" w:cs="Times New Roman"/>
                <w:color w:val="auto"/>
                <w:kern w:val="0"/>
                <w:sz w:val="21"/>
                <w:szCs w:val="24"/>
                <w:highlight w:val="none"/>
                <w:vertAlign w:val="subscript"/>
                <w:lang w:val="en-US" w:eastAsia="zh-CN" w:bidi="ar"/>
              </w:rPr>
              <w:t>2</w:t>
            </w:r>
            <w:r>
              <w:rPr>
                <w:rFonts w:hint="default" w:ascii="Times New Roman" w:hAnsi="Times New Roman" w:eastAsia="宋体" w:cs="Times New Roman"/>
                <w:color w:val="auto"/>
                <w:kern w:val="0"/>
                <w:sz w:val="21"/>
                <w:szCs w:val="24"/>
                <w:highlight w:val="none"/>
                <w:lang w:val="en-US" w:eastAsia="zh-CN" w:bidi="ar"/>
              </w:rPr>
              <w:t>和 NO</w:t>
            </w:r>
            <w:r>
              <w:rPr>
                <w:rFonts w:hint="default" w:ascii="Times New Roman" w:hAnsi="Times New Roman" w:eastAsia="宋体" w:cs="Times New Roman"/>
                <w:color w:val="auto"/>
                <w:kern w:val="0"/>
                <w:sz w:val="21"/>
                <w:szCs w:val="24"/>
                <w:highlight w:val="none"/>
                <w:vertAlign w:val="subscript"/>
                <w:lang w:val="en-US" w:eastAsia="zh-CN" w:bidi="ar"/>
              </w:rPr>
              <w:t>x</w:t>
            </w:r>
            <w:r>
              <w:rPr>
                <w:rFonts w:hint="default" w:ascii="Times New Roman" w:hAnsi="Times New Roman" w:eastAsia="宋体" w:cs="Times New Roman"/>
                <w:color w:val="auto"/>
                <w:kern w:val="0"/>
                <w:sz w:val="21"/>
                <w:szCs w:val="24"/>
                <w:highlight w:val="none"/>
                <w:lang w:val="en-US" w:eastAsia="zh-CN" w:bidi="ar"/>
              </w:rPr>
              <w:t>等污染物均能达到排放要求。符合</w:t>
            </w:r>
            <w:r>
              <w:rPr>
                <w:rFonts w:hint="default" w:ascii="Times New Roman" w:hAnsi="Times New Roman" w:eastAsia="宋体" w:cs="Times New Roman"/>
                <w:b w:val="0"/>
                <w:bCs w:val="0"/>
                <w:color w:val="auto"/>
                <w:kern w:val="0"/>
                <w:sz w:val="21"/>
                <w:szCs w:val="24"/>
                <w:highlight w:val="none"/>
                <w:lang w:val="en-US" w:eastAsia="zh-CN" w:bidi="ar"/>
              </w:rPr>
              <w:t>《环境空气细颗粒物污染物污染综合防治技术政策》要求。</w:t>
            </w:r>
          </w:p>
          <w:p w14:paraId="3C58D510">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default" w:ascii="Times New Roman" w:hAnsi="Times New Roman" w:eastAsia="宋体" w:cs="Times New Roman"/>
                <w:b/>
                <w:bCs/>
                <w:color w:val="auto"/>
                <w:kern w:val="0"/>
                <w:sz w:val="21"/>
                <w:szCs w:val="21"/>
                <w:highlight w:val="none"/>
                <w:lang w:eastAsia="zh-CN"/>
              </w:rPr>
            </w:pPr>
            <w:r>
              <w:rPr>
                <w:rFonts w:hint="eastAsia" w:cs="Times New Roman"/>
                <w:b/>
                <w:bCs/>
                <w:color w:val="auto"/>
                <w:kern w:val="0"/>
                <w:sz w:val="21"/>
                <w:szCs w:val="21"/>
                <w:highlight w:val="none"/>
                <w:lang w:val="en-US" w:eastAsia="zh-CN"/>
              </w:rPr>
              <w:t>7</w:t>
            </w:r>
            <w:r>
              <w:rPr>
                <w:rFonts w:hint="default" w:ascii="Times New Roman" w:hAnsi="Times New Roman" w:eastAsia="宋体" w:cs="Times New Roman"/>
                <w:b/>
                <w:bCs/>
                <w:color w:val="auto"/>
                <w:kern w:val="0"/>
                <w:sz w:val="21"/>
                <w:szCs w:val="21"/>
                <w:highlight w:val="none"/>
                <w:lang w:val="en-US" w:eastAsia="zh-CN"/>
              </w:rPr>
              <w:t>、与</w:t>
            </w:r>
            <w:r>
              <w:rPr>
                <w:rFonts w:hint="eastAsia" w:ascii="Times New Roman" w:hAnsi="Times New Roman" w:eastAsia="宋体" w:cs="Times New Roman"/>
                <w:b/>
                <w:bCs/>
                <w:color w:val="auto"/>
                <w:highlight w:val="none"/>
                <w:lang w:val="en-US" w:eastAsia="zh-CN"/>
              </w:rPr>
              <w:t>《伊春市人民政府关于划定高污染燃料禁燃区的通告》</w:t>
            </w:r>
            <w:r>
              <w:rPr>
                <w:rFonts w:hint="default" w:ascii="Times New Roman" w:hAnsi="Times New Roman" w:eastAsia="宋体" w:cs="Times New Roman"/>
                <w:b/>
                <w:bCs/>
                <w:color w:val="auto"/>
                <w:kern w:val="0"/>
                <w:sz w:val="21"/>
                <w:szCs w:val="21"/>
                <w:highlight w:val="none"/>
                <w:lang w:eastAsia="zh-CN"/>
              </w:rPr>
              <w:t>符合性分析</w:t>
            </w:r>
          </w:p>
          <w:p w14:paraId="1E07E07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伊春市高污染燃料禁燃区范围为市政府所在地建成区及铁力市政府所在地建成区</w:t>
            </w:r>
            <w:r>
              <w:rPr>
                <w:rFonts w:hint="eastAsia" w:ascii="Times New Roman" w:hAnsi="Times New Roman" w:eastAsia="宋体" w:cs="Times New Roman"/>
                <w:color w:val="auto"/>
                <w:highlight w:val="none"/>
                <w:lang w:val="en-US" w:eastAsia="zh-CN"/>
              </w:rPr>
              <w:t>，在禁燃区内，禁止销售、燃用高污染燃料；禁止新建、扩建燃用高污染燃料的设施，已建成的，应当在城市人民政府规定的期限内改用天然气、页岩气、液化石油气、电或者其他清洁能源。</w:t>
            </w:r>
          </w:p>
          <w:p w14:paraId="1B1AB1EF">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4"/>
                <w:highlight w:val="none"/>
                <w:lang w:val="en-US" w:eastAsia="zh-CN" w:bidi="ar"/>
              </w:rPr>
              <w:t>本项目</w:t>
            </w:r>
            <w:r>
              <w:rPr>
                <w:rFonts w:hint="eastAsia" w:ascii="Times New Roman" w:hAnsi="Times New Roman"/>
                <w:color w:val="auto"/>
                <w:sz w:val="21"/>
                <w:szCs w:val="21"/>
                <w:highlight w:val="none"/>
                <w:lang w:val="en-US" w:eastAsia="zh-CN"/>
              </w:rPr>
              <w:t>不</w:t>
            </w:r>
            <w:r>
              <w:rPr>
                <w:rFonts w:hint="eastAsia" w:ascii="Times New Roman" w:hAnsi="Times New Roman"/>
                <w:color w:val="auto"/>
                <w:sz w:val="21"/>
                <w:szCs w:val="21"/>
                <w:highlight w:val="none"/>
              </w:rPr>
              <w:t>位于高污染燃料禁燃区，</w:t>
            </w:r>
            <w:r>
              <w:rPr>
                <w:rFonts w:hint="default" w:ascii="Times New Roman" w:hAnsi="Times New Roman" w:eastAsia="宋体" w:cs="Times New Roman"/>
                <w:color w:val="auto"/>
                <w:kern w:val="0"/>
                <w:sz w:val="21"/>
                <w:szCs w:val="24"/>
                <w:highlight w:val="none"/>
                <w:lang w:val="en-US" w:eastAsia="zh-CN" w:bidi="ar"/>
              </w:rPr>
              <w:t>建设1台2.8MW燃</w:t>
            </w:r>
            <w:r>
              <w:rPr>
                <w:rFonts w:hint="default" w:ascii="Times New Roman" w:hAnsi="Times New Roman" w:eastAsia="宋体" w:cs="Times New Roman"/>
                <w:color w:val="auto"/>
                <w:sz w:val="21"/>
                <w:highlight w:val="none"/>
              </w:rPr>
              <w:t>生物质</w:t>
            </w:r>
            <w:r>
              <w:rPr>
                <w:rFonts w:hint="default" w:ascii="Times New Roman" w:hAnsi="Times New Roman" w:eastAsia="宋体" w:cs="Times New Roman"/>
                <w:color w:val="auto"/>
                <w:sz w:val="21"/>
                <w:highlight w:val="none"/>
                <w:lang w:val="en-US" w:eastAsia="zh-CN"/>
              </w:rPr>
              <w:t>专用</w:t>
            </w:r>
            <w:r>
              <w:rPr>
                <w:rFonts w:hint="default" w:ascii="Times New Roman" w:hAnsi="Times New Roman" w:eastAsia="宋体" w:cs="Times New Roman"/>
                <w:color w:val="auto"/>
                <w:sz w:val="21"/>
                <w:highlight w:val="none"/>
              </w:rPr>
              <w:t>锅炉</w:t>
            </w:r>
            <w:r>
              <w:rPr>
                <w:rFonts w:hint="default" w:ascii="Times New Roman" w:hAnsi="Times New Roman" w:eastAsia="宋体" w:cs="Times New Roman"/>
                <w:color w:val="auto"/>
                <w:kern w:val="0"/>
                <w:sz w:val="21"/>
                <w:szCs w:val="24"/>
                <w:highlight w:val="none"/>
                <w:lang w:val="en-US" w:eastAsia="zh-CN" w:bidi="ar"/>
              </w:rPr>
              <w:t>，锅炉烟气经过</w:t>
            </w:r>
            <w:r>
              <w:rPr>
                <w:rFonts w:hint="default" w:ascii="Times New Roman" w:hAnsi="Times New Roman" w:eastAsia="宋体" w:cs="Times New Roman"/>
                <w:color w:val="auto"/>
                <w:kern w:val="0"/>
                <w:sz w:val="21"/>
                <w:szCs w:val="21"/>
                <w:highlight w:val="none"/>
                <w:lang w:val="en-US" w:eastAsia="zh-CN"/>
              </w:rPr>
              <w:t>旋风除尘器+</w:t>
            </w:r>
            <w:r>
              <w:rPr>
                <w:rFonts w:hint="default" w:ascii="Times New Roman" w:hAnsi="Times New Roman" w:eastAsia="宋体" w:cs="Times New Roman"/>
                <w:color w:val="auto"/>
                <w:kern w:val="0"/>
                <w:sz w:val="21"/>
                <w:szCs w:val="24"/>
                <w:highlight w:val="none"/>
                <w:lang w:val="en-US" w:eastAsia="zh-CN" w:bidi="ar"/>
              </w:rPr>
              <w:t>布袋除尘器处理后通过</w:t>
            </w:r>
            <w:r>
              <w:rPr>
                <w:rFonts w:hint="eastAsia" w:cs="Times New Roman"/>
                <w:color w:val="auto"/>
                <w:kern w:val="0"/>
                <w:sz w:val="21"/>
                <w:szCs w:val="24"/>
                <w:highlight w:val="none"/>
                <w:lang w:val="en-US" w:eastAsia="zh-CN" w:bidi="ar"/>
              </w:rPr>
              <w:t>35m</w:t>
            </w:r>
            <w:r>
              <w:rPr>
                <w:rFonts w:hint="default" w:ascii="Times New Roman" w:hAnsi="Times New Roman" w:eastAsia="宋体" w:cs="Times New Roman"/>
                <w:color w:val="auto"/>
                <w:kern w:val="0"/>
                <w:sz w:val="21"/>
                <w:szCs w:val="24"/>
                <w:highlight w:val="none"/>
                <w:lang w:val="en-US" w:eastAsia="zh-CN" w:bidi="ar"/>
              </w:rPr>
              <w:t>烟囱（DA001）排放</w:t>
            </w:r>
            <w:r>
              <w:rPr>
                <w:rFonts w:hint="default" w:ascii="Times New Roman" w:hAnsi="Times New Roman" w:eastAsia="宋体" w:cs="Times New Roman"/>
                <w:color w:val="auto"/>
                <w:kern w:val="0"/>
                <w:sz w:val="21"/>
                <w:szCs w:val="21"/>
                <w:highlight w:val="none"/>
                <w:lang w:eastAsia="zh-CN"/>
              </w:rPr>
              <w:t>。综合分析，本工程建设符合</w:t>
            </w:r>
            <w:r>
              <w:rPr>
                <w:rFonts w:hint="eastAsia" w:ascii="Times New Roman" w:hAnsi="Times New Roman" w:eastAsia="宋体" w:cs="Times New Roman"/>
                <w:b w:val="0"/>
                <w:bCs w:val="0"/>
                <w:color w:val="auto"/>
                <w:highlight w:val="none"/>
                <w:lang w:val="en-US" w:eastAsia="zh-CN"/>
              </w:rPr>
              <w:t>《伊春市人民政府关于划定高污染燃料禁燃区的通告》</w:t>
            </w:r>
            <w:r>
              <w:rPr>
                <w:rFonts w:hint="default" w:ascii="Times New Roman" w:hAnsi="Times New Roman" w:eastAsia="宋体" w:cs="Times New Roman"/>
                <w:color w:val="auto"/>
                <w:kern w:val="0"/>
                <w:sz w:val="21"/>
                <w:szCs w:val="21"/>
                <w:highlight w:val="none"/>
                <w:lang w:val="en-US" w:eastAsia="zh-CN"/>
              </w:rPr>
              <w:t>要求</w:t>
            </w:r>
            <w:r>
              <w:rPr>
                <w:rFonts w:hint="default" w:ascii="Times New Roman" w:hAnsi="Times New Roman" w:eastAsia="宋体" w:cs="Times New Roman"/>
                <w:color w:val="auto"/>
                <w:kern w:val="0"/>
                <w:sz w:val="21"/>
                <w:szCs w:val="21"/>
                <w:highlight w:val="none"/>
                <w:lang w:eastAsia="zh-CN"/>
              </w:rPr>
              <w:t>。</w:t>
            </w:r>
          </w:p>
          <w:p w14:paraId="62313DE9">
            <w:pPr>
              <w:keepNext w:val="0"/>
              <w:keepLines w:val="0"/>
              <w:pageBreakBefore w:val="0"/>
              <w:widowControl w:val="0"/>
              <w:numPr>
                <w:ilvl w:val="0"/>
                <w:numId w:val="5"/>
              </w:numPr>
              <w:kinsoku/>
              <w:wordWrap/>
              <w:overflowPunct/>
              <w:topLinePunct w:val="0"/>
              <w:autoSpaceDE/>
              <w:autoSpaceDN/>
              <w:bidi w:val="0"/>
              <w:adjustRightInd w:val="0"/>
              <w:snapToGrid w:val="0"/>
              <w:spacing w:line="360" w:lineRule="auto"/>
              <w:ind w:firstLine="422" w:firstLineChars="200"/>
              <w:textAlignment w:val="auto"/>
              <w:rPr>
                <w:rFonts w:hint="eastAsia" w:cs="Times New Roman"/>
                <w:b/>
                <w:bCs/>
                <w:color w:val="auto"/>
                <w:kern w:val="0"/>
                <w:sz w:val="21"/>
                <w:szCs w:val="21"/>
                <w:highlight w:val="none"/>
                <w:lang w:val="en-US" w:eastAsia="zh-CN"/>
              </w:rPr>
            </w:pPr>
            <w:r>
              <w:rPr>
                <w:rFonts w:hint="eastAsia" w:cs="Times New Roman"/>
                <w:b/>
                <w:bCs/>
                <w:color w:val="auto"/>
                <w:kern w:val="0"/>
                <w:sz w:val="21"/>
                <w:szCs w:val="21"/>
                <w:highlight w:val="none"/>
                <w:lang w:val="en-US" w:eastAsia="zh-CN"/>
              </w:rPr>
              <w:t>与《伊春市“十四五”生态环境保护规划》符合性分析</w:t>
            </w:r>
          </w:p>
          <w:p w14:paraId="3E3BC53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default" w:cs="Times New Roman"/>
                <w:color w:val="auto"/>
                <w:kern w:val="0"/>
                <w:sz w:val="21"/>
                <w:szCs w:val="21"/>
                <w:highlight w:val="none"/>
                <w:lang w:val="en-US" w:eastAsia="zh-CN"/>
              </w:rPr>
            </w:pPr>
            <w:r>
              <w:rPr>
                <w:rFonts w:hint="default" w:cs="Times New Roman"/>
                <w:color w:val="auto"/>
                <w:kern w:val="0"/>
                <w:sz w:val="21"/>
                <w:szCs w:val="21"/>
                <w:highlight w:val="none"/>
                <w:lang w:val="en-US" w:eastAsia="zh-CN"/>
              </w:rPr>
              <w:t>深化燃煤污染治理，严格控制煤炭消费总量。加大清洁能源的供应和推广力度，推进天然气、电能替代燃煤，深入开展工业企业提标改造，推进火电、钢铁企业实施超低排放改造。县级及以上城市建成区原则上不再新建每小时35蒸吨以下的燃煤锅炉，其他地区原则上不再新建每小时10蒸吨以下的燃煤锅炉，持续巩固燃煤锅炉淘汰改造成果。组织开展重点排放单位数据报送及核查、发电行业重点排放单位开户及配额预分配和清缴。强化移动源污染治理，加强在用机动车污染治理，精细化管控道路、交通、拆迁等各类扬尘污染，降尘量大幅降低，空气质量稳步改善。</w:t>
            </w:r>
          </w:p>
          <w:p w14:paraId="0BA9B8F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default" w:cs="Times New Roman"/>
                <w:b w:val="0"/>
                <w:bCs w:val="0"/>
                <w:color w:val="auto"/>
                <w:kern w:val="0"/>
                <w:sz w:val="21"/>
                <w:szCs w:val="21"/>
                <w:highlight w:val="none"/>
                <w:lang w:val="en-US" w:eastAsia="zh-CN"/>
              </w:rPr>
            </w:pPr>
            <w:r>
              <w:rPr>
                <w:rFonts w:hint="eastAsia" w:cs="Times New Roman"/>
                <w:color w:val="auto"/>
                <w:kern w:val="0"/>
                <w:sz w:val="21"/>
                <w:szCs w:val="21"/>
                <w:highlight w:val="none"/>
                <w:lang w:val="en-US" w:eastAsia="zh-CN"/>
              </w:rPr>
              <w:t>本项目现有一台2.8MW燃煤锅炉，本次将燃煤锅炉改造成燃生物质锅炉，生物质</w:t>
            </w:r>
            <w:r>
              <w:rPr>
                <w:rFonts w:hint="default" w:ascii="Times New Roman" w:hAnsi="Times New Roman" w:eastAsia="宋体" w:cs="Times New Roman"/>
                <w:color w:val="auto"/>
                <w:kern w:val="0"/>
                <w:sz w:val="21"/>
                <w:szCs w:val="24"/>
                <w:highlight w:val="none"/>
                <w:lang w:val="en-US" w:eastAsia="zh-CN" w:bidi="ar"/>
              </w:rPr>
              <w:t>锅炉烟气经过</w:t>
            </w:r>
            <w:r>
              <w:rPr>
                <w:rFonts w:hint="default" w:ascii="Times New Roman" w:hAnsi="Times New Roman" w:eastAsia="宋体" w:cs="Times New Roman"/>
                <w:color w:val="auto"/>
                <w:kern w:val="0"/>
                <w:sz w:val="21"/>
                <w:szCs w:val="21"/>
                <w:highlight w:val="none"/>
                <w:lang w:val="en-US" w:eastAsia="zh-CN"/>
              </w:rPr>
              <w:t>旋风除尘器+</w:t>
            </w:r>
            <w:r>
              <w:rPr>
                <w:rFonts w:hint="default" w:ascii="Times New Roman" w:hAnsi="Times New Roman" w:eastAsia="宋体" w:cs="Times New Roman"/>
                <w:color w:val="auto"/>
                <w:kern w:val="0"/>
                <w:sz w:val="21"/>
                <w:szCs w:val="24"/>
                <w:highlight w:val="none"/>
                <w:lang w:val="en-US" w:eastAsia="zh-CN" w:bidi="ar"/>
              </w:rPr>
              <w:t>布袋除尘器处理后通过</w:t>
            </w:r>
            <w:r>
              <w:rPr>
                <w:rFonts w:hint="eastAsia" w:cs="Times New Roman"/>
                <w:color w:val="auto"/>
                <w:kern w:val="0"/>
                <w:sz w:val="21"/>
                <w:szCs w:val="24"/>
                <w:highlight w:val="none"/>
                <w:lang w:val="en-US" w:eastAsia="zh-CN" w:bidi="ar"/>
              </w:rPr>
              <w:t>35m</w:t>
            </w:r>
            <w:r>
              <w:rPr>
                <w:rFonts w:hint="default" w:ascii="Times New Roman" w:hAnsi="Times New Roman" w:eastAsia="宋体" w:cs="Times New Roman"/>
                <w:color w:val="auto"/>
                <w:kern w:val="0"/>
                <w:sz w:val="21"/>
                <w:szCs w:val="24"/>
                <w:highlight w:val="none"/>
                <w:lang w:val="en-US" w:eastAsia="zh-CN" w:bidi="ar"/>
              </w:rPr>
              <w:t>烟囱（DA001）排放。烟气处理后颗粒物、SO</w:t>
            </w:r>
            <w:r>
              <w:rPr>
                <w:rFonts w:hint="default" w:ascii="Times New Roman" w:hAnsi="Times New Roman" w:eastAsia="宋体" w:cs="Times New Roman"/>
                <w:color w:val="auto"/>
                <w:kern w:val="0"/>
                <w:sz w:val="21"/>
                <w:szCs w:val="24"/>
                <w:highlight w:val="none"/>
                <w:vertAlign w:val="subscript"/>
                <w:lang w:val="en-US" w:eastAsia="zh-CN" w:bidi="ar"/>
              </w:rPr>
              <w:t>2</w:t>
            </w:r>
            <w:r>
              <w:rPr>
                <w:rFonts w:hint="default" w:ascii="Times New Roman" w:hAnsi="Times New Roman" w:eastAsia="宋体" w:cs="Times New Roman"/>
                <w:color w:val="auto"/>
                <w:kern w:val="0"/>
                <w:sz w:val="21"/>
                <w:szCs w:val="24"/>
                <w:highlight w:val="none"/>
                <w:lang w:val="en-US" w:eastAsia="zh-CN" w:bidi="ar"/>
              </w:rPr>
              <w:t>和NO</w:t>
            </w:r>
            <w:r>
              <w:rPr>
                <w:rFonts w:hint="default" w:ascii="Times New Roman" w:hAnsi="Times New Roman" w:eastAsia="宋体" w:cs="Times New Roman"/>
                <w:color w:val="auto"/>
                <w:kern w:val="0"/>
                <w:sz w:val="21"/>
                <w:szCs w:val="24"/>
                <w:highlight w:val="none"/>
                <w:vertAlign w:val="subscript"/>
                <w:lang w:val="en-US" w:eastAsia="zh-CN" w:bidi="ar"/>
              </w:rPr>
              <w:t>x</w:t>
            </w:r>
            <w:r>
              <w:rPr>
                <w:rFonts w:hint="default" w:ascii="Times New Roman" w:hAnsi="Times New Roman" w:eastAsia="宋体" w:cs="Times New Roman"/>
                <w:color w:val="auto"/>
                <w:kern w:val="0"/>
                <w:sz w:val="21"/>
                <w:szCs w:val="24"/>
                <w:highlight w:val="none"/>
                <w:lang w:val="en-US" w:eastAsia="zh-CN" w:bidi="ar"/>
              </w:rPr>
              <w:t>等污染物均能达到排放要</w:t>
            </w:r>
            <w:r>
              <w:rPr>
                <w:rFonts w:hint="eastAsia" w:cs="Times New Roman"/>
                <w:color w:val="auto"/>
                <w:kern w:val="0"/>
                <w:sz w:val="21"/>
                <w:szCs w:val="24"/>
                <w:highlight w:val="none"/>
                <w:lang w:val="en-US" w:eastAsia="zh-CN" w:bidi="ar"/>
              </w:rPr>
              <w:t>。符合</w:t>
            </w:r>
            <w:r>
              <w:rPr>
                <w:rFonts w:hint="eastAsia" w:cs="Times New Roman"/>
                <w:b w:val="0"/>
                <w:bCs w:val="0"/>
                <w:color w:val="auto"/>
                <w:kern w:val="0"/>
                <w:sz w:val="21"/>
                <w:szCs w:val="21"/>
                <w:highlight w:val="none"/>
                <w:lang w:val="en-US" w:eastAsia="zh-CN"/>
              </w:rPr>
              <w:t>《伊春市“十四五”生态环境保护规划》。</w:t>
            </w:r>
          </w:p>
          <w:p w14:paraId="09BFB580">
            <w:pPr>
              <w:keepNext w:val="0"/>
              <w:keepLines w:val="0"/>
              <w:pageBreakBefore w:val="0"/>
              <w:widowControl w:val="0"/>
              <w:kinsoku/>
              <w:wordWrap/>
              <w:overflowPunct/>
              <w:topLinePunct w:val="0"/>
              <w:autoSpaceDE/>
              <w:autoSpaceDN/>
              <w:bidi w:val="0"/>
              <w:adjustRightInd w:val="0"/>
              <w:snapToGrid w:val="0"/>
              <w:spacing w:line="360" w:lineRule="auto"/>
              <w:ind w:firstLine="422" w:firstLineChars="200"/>
              <w:textAlignment w:val="auto"/>
              <w:rPr>
                <w:rFonts w:hint="default" w:ascii="Times New Roman" w:hAnsi="Times New Roman" w:eastAsia="宋体" w:cs="Times New Roman"/>
                <w:b/>
                <w:bCs/>
                <w:color w:val="auto"/>
                <w:kern w:val="0"/>
                <w:sz w:val="21"/>
                <w:szCs w:val="21"/>
                <w:highlight w:val="none"/>
                <w:lang w:eastAsia="zh-CN"/>
              </w:rPr>
            </w:pPr>
            <w:r>
              <w:rPr>
                <w:rFonts w:hint="eastAsia" w:cs="Times New Roman"/>
                <w:b/>
                <w:bCs/>
                <w:color w:val="auto"/>
                <w:kern w:val="0"/>
                <w:sz w:val="21"/>
                <w:szCs w:val="21"/>
                <w:highlight w:val="none"/>
                <w:lang w:val="en-US" w:eastAsia="zh-CN"/>
              </w:rPr>
              <w:t>9、</w:t>
            </w:r>
            <w:r>
              <w:rPr>
                <w:rFonts w:hint="default" w:ascii="Times New Roman" w:hAnsi="Times New Roman" w:eastAsia="宋体" w:cs="Times New Roman"/>
                <w:b/>
                <w:bCs/>
                <w:color w:val="auto"/>
                <w:kern w:val="0"/>
                <w:sz w:val="21"/>
                <w:szCs w:val="21"/>
                <w:highlight w:val="none"/>
                <w:lang w:eastAsia="zh-CN"/>
              </w:rPr>
              <w:t>选址合理性分析</w:t>
            </w:r>
          </w:p>
          <w:p w14:paraId="7B01A1B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本项目位</w:t>
            </w:r>
            <w:r>
              <w:rPr>
                <w:rFonts w:hint="eastAsia" w:ascii="Times New Roman" w:hAnsi="Times New Roman" w:eastAsia="宋体" w:cstheme="minorEastAsia"/>
                <w:color w:val="auto"/>
                <w:sz w:val="21"/>
                <w:szCs w:val="24"/>
                <w:u w:val="none"/>
              </w:rPr>
              <w:t>黑龙江省伊春市铁力市王杨乡西河砖厂西侧哈伊路南，铁力市红博农资销售有限责任公司院内</w:t>
            </w:r>
            <w:r>
              <w:rPr>
                <w:rFonts w:hint="default" w:ascii="Times New Roman" w:hAnsi="Times New Roman" w:eastAsia="宋体" w:cs="Times New Roman"/>
                <w:color w:val="auto"/>
                <w:kern w:val="0"/>
                <w:sz w:val="21"/>
                <w:szCs w:val="21"/>
                <w:highlight w:val="none"/>
                <w:lang w:val="en-US" w:eastAsia="zh-CN"/>
              </w:rPr>
              <w:t>，用地性质为</w:t>
            </w:r>
            <w:r>
              <w:rPr>
                <w:rFonts w:hint="eastAsia" w:cs="Times New Roman"/>
                <w:color w:val="auto"/>
                <w:kern w:val="0"/>
                <w:sz w:val="21"/>
                <w:szCs w:val="21"/>
                <w:highlight w:val="none"/>
                <w:lang w:val="en-US" w:eastAsia="zh-CN"/>
              </w:rPr>
              <w:t>商服</w:t>
            </w:r>
            <w:r>
              <w:rPr>
                <w:rFonts w:hint="default" w:ascii="Times New Roman" w:hAnsi="Times New Roman" w:eastAsia="宋体" w:cs="Times New Roman"/>
                <w:color w:val="auto"/>
                <w:kern w:val="0"/>
                <w:sz w:val="21"/>
                <w:szCs w:val="21"/>
                <w:highlight w:val="none"/>
                <w:lang w:val="en-US" w:eastAsia="zh-CN"/>
              </w:rPr>
              <w:t>用地，厂界东侧</w:t>
            </w:r>
            <w:r>
              <w:rPr>
                <w:rFonts w:hint="eastAsia" w:cs="Times New Roman"/>
                <w:color w:val="auto"/>
                <w:kern w:val="0"/>
                <w:sz w:val="21"/>
                <w:szCs w:val="21"/>
                <w:highlight w:val="none"/>
                <w:lang w:val="en-US" w:eastAsia="zh-CN"/>
              </w:rPr>
              <w:t>为农机存放场地</w:t>
            </w:r>
            <w:r>
              <w:rPr>
                <w:rFonts w:hint="default" w:ascii="Times New Roman" w:hAnsi="Times New Roman" w:eastAsia="宋体" w:cs="Times New Roman"/>
                <w:color w:val="auto"/>
                <w:kern w:val="0"/>
                <w:sz w:val="21"/>
                <w:szCs w:val="21"/>
                <w:highlight w:val="none"/>
                <w:lang w:val="en-US" w:eastAsia="zh-CN"/>
              </w:rPr>
              <w:t>、西侧</w:t>
            </w:r>
            <w:r>
              <w:rPr>
                <w:rFonts w:hint="eastAsia" w:cs="Times New Roman"/>
                <w:color w:val="auto"/>
                <w:kern w:val="0"/>
                <w:sz w:val="21"/>
                <w:szCs w:val="21"/>
                <w:highlight w:val="none"/>
                <w:lang w:val="en-US" w:eastAsia="zh-CN"/>
              </w:rPr>
              <w:t>为空地</w:t>
            </w:r>
            <w:r>
              <w:rPr>
                <w:rFonts w:hint="default" w:ascii="Times New Roman" w:hAnsi="Times New Roman" w:eastAsia="宋体" w:cs="Times New Roman"/>
                <w:color w:val="auto"/>
                <w:kern w:val="0"/>
                <w:sz w:val="21"/>
                <w:szCs w:val="21"/>
                <w:highlight w:val="none"/>
                <w:lang w:val="en-US" w:eastAsia="zh-CN"/>
              </w:rPr>
              <w:t>、北侧</w:t>
            </w:r>
            <w:r>
              <w:rPr>
                <w:rFonts w:hint="eastAsia" w:cs="Times New Roman"/>
                <w:color w:val="auto"/>
                <w:kern w:val="0"/>
                <w:sz w:val="21"/>
                <w:szCs w:val="21"/>
                <w:highlight w:val="none"/>
                <w:lang w:val="en-US" w:eastAsia="zh-CN"/>
              </w:rPr>
              <w:t>为</w:t>
            </w:r>
            <w:r>
              <w:rPr>
                <w:rFonts w:hint="eastAsia" w:ascii="Times New Roman" w:hAnsi="Times New Roman" w:cs="宋体"/>
                <w:color w:val="auto"/>
                <w:kern w:val="2"/>
                <w:sz w:val="21"/>
                <w:szCs w:val="24"/>
                <w:highlight w:val="none"/>
                <w:lang w:val="en-US" w:eastAsia="zh-CN" w:bidi="ar-SA"/>
              </w:rPr>
              <w:t>铁力农资农机种子综合大市场</w:t>
            </w:r>
            <w:r>
              <w:rPr>
                <w:rFonts w:hint="default" w:ascii="Times New Roman" w:hAnsi="Times New Roman" w:eastAsia="宋体" w:cs="Times New Roman"/>
                <w:color w:val="auto"/>
                <w:kern w:val="0"/>
                <w:sz w:val="21"/>
                <w:szCs w:val="21"/>
                <w:highlight w:val="none"/>
                <w:lang w:val="en-US" w:eastAsia="zh-CN"/>
              </w:rPr>
              <w:t>，南侧为</w:t>
            </w:r>
            <w:r>
              <w:rPr>
                <w:rFonts w:hint="eastAsia" w:cs="Times New Roman"/>
                <w:color w:val="auto"/>
                <w:kern w:val="0"/>
                <w:sz w:val="21"/>
                <w:szCs w:val="21"/>
                <w:highlight w:val="none"/>
                <w:lang w:val="en-US" w:eastAsia="zh-CN"/>
              </w:rPr>
              <w:t>村路，隔路为空地</w:t>
            </w:r>
            <w:r>
              <w:rPr>
                <w:rFonts w:hint="default" w:ascii="Times New Roman" w:hAnsi="Times New Roman" w:eastAsia="宋体" w:cs="Times New Roman"/>
                <w:color w:val="auto"/>
                <w:kern w:val="0"/>
                <w:sz w:val="21"/>
                <w:szCs w:val="21"/>
                <w:highlight w:val="none"/>
                <w:lang w:val="en-US" w:eastAsia="zh-CN"/>
              </w:rPr>
              <w:t>。项目建设过程中产生的废气、噪声对周围环境将产生一定影响，但通过采取相应的环保措施可使该项目的环境影响降低。距离本项目最近的居民区为</w:t>
            </w:r>
            <w:r>
              <w:rPr>
                <w:rFonts w:hint="eastAsia" w:cs="Times New Roman"/>
                <w:color w:val="auto"/>
                <w:kern w:val="0"/>
                <w:sz w:val="21"/>
                <w:szCs w:val="21"/>
                <w:highlight w:val="none"/>
                <w:lang w:val="en-US" w:eastAsia="zh-CN"/>
              </w:rPr>
              <w:t>南</w:t>
            </w:r>
            <w:r>
              <w:rPr>
                <w:rFonts w:hint="default" w:ascii="Times New Roman" w:hAnsi="Times New Roman" w:eastAsia="宋体" w:cs="Times New Roman"/>
                <w:color w:val="auto"/>
                <w:kern w:val="0"/>
                <w:sz w:val="21"/>
                <w:szCs w:val="21"/>
                <w:highlight w:val="none"/>
                <w:lang w:val="en-US" w:eastAsia="zh-CN"/>
              </w:rPr>
              <w:t>侧民房，距离</w:t>
            </w:r>
            <w:r>
              <w:rPr>
                <w:rFonts w:hint="eastAsia" w:cs="Times New Roman"/>
                <w:color w:val="auto"/>
                <w:kern w:val="0"/>
                <w:sz w:val="21"/>
                <w:szCs w:val="21"/>
                <w:highlight w:val="none"/>
                <w:lang w:val="en-US" w:eastAsia="zh-CN"/>
              </w:rPr>
              <w:t>约</w:t>
            </w:r>
            <w:r>
              <w:rPr>
                <w:rFonts w:hint="default" w:ascii="Times New Roman" w:hAnsi="Times New Roman" w:eastAsia="宋体" w:cs="Times New Roman"/>
                <w:color w:val="auto"/>
                <w:kern w:val="0"/>
                <w:sz w:val="21"/>
                <w:szCs w:val="21"/>
                <w:highlight w:val="none"/>
                <w:lang w:val="en-US" w:eastAsia="zh-CN"/>
              </w:rPr>
              <w:t>为</w:t>
            </w:r>
            <w:r>
              <w:rPr>
                <w:rFonts w:hint="eastAsia" w:cs="Times New Roman"/>
                <w:color w:val="auto"/>
                <w:kern w:val="0"/>
                <w:sz w:val="21"/>
                <w:szCs w:val="21"/>
                <w:highlight w:val="none"/>
                <w:lang w:val="en-US" w:eastAsia="zh-CN"/>
              </w:rPr>
              <w:t>2</w:t>
            </w:r>
            <w:r>
              <w:rPr>
                <w:rFonts w:hint="default" w:ascii="Times New Roman" w:hAnsi="Times New Roman" w:eastAsia="宋体" w:cs="Times New Roman"/>
                <w:color w:val="auto"/>
                <w:kern w:val="0"/>
                <w:sz w:val="21"/>
                <w:szCs w:val="21"/>
                <w:highlight w:val="none"/>
                <w:lang w:val="en-US" w:eastAsia="zh-CN"/>
              </w:rPr>
              <w:t>5m，位于所在区域常年主导风向的侧风向，生物质锅炉采取旋风除尘器+</w:t>
            </w:r>
            <w:r>
              <w:rPr>
                <w:rFonts w:hint="default" w:ascii="Times New Roman" w:hAnsi="Times New Roman" w:eastAsia="宋体" w:cs="Times New Roman"/>
                <w:color w:val="auto"/>
                <w:kern w:val="0"/>
                <w:sz w:val="21"/>
                <w:szCs w:val="24"/>
                <w:highlight w:val="none"/>
                <w:lang w:val="en-US" w:eastAsia="zh-CN" w:bidi="ar"/>
              </w:rPr>
              <w:t>布袋除尘器</w:t>
            </w:r>
            <w:r>
              <w:rPr>
                <w:rFonts w:hint="eastAsia" w:ascii="Times New Roman" w:hAnsi="Times New Roman" w:eastAsia="宋体" w:cs="Times New Roman"/>
                <w:color w:val="auto"/>
                <w:kern w:val="0"/>
                <w:sz w:val="21"/>
                <w:szCs w:val="24"/>
                <w:highlight w:val="none"/>
                <w:lang w:val="en-US" w:eastAsia="zh-CN" w:bidi="ar"/>
              </w:rPr>
              <w:t>治理措施</w:t>
            </w:r>
            <w:r>
              <w:rPr>
                <w:rFonts w:hint="default" w:ascii="Times New Roman" w:hAnsi="Times New Roman" w:eastAsia="宋体" w:cs="Times New Roman"/>
                <w:color w:val="auto"/>
                <w:kern w:val="0"/>
                <w:sz w:val="21"/>
                <w:szCs w:val="24"/>
                <w:highlight w:val="none"/>
                <w:lang w:val="en-US" w:eastAsia="zh-CN" w:bidi="ar"/>
              </w:rPr>
              <w:t>，处理后的烟气通过</w:t>
            </w:r>
            <w:r>
              <w:rPr>
                <w:rFonts w:hint="eastAsia" w:cs="Times New Roman"/>
                <w:color w:val="auto"/>
                <w:kern w:val="0"/>
                <w:sz w:val="21"/>
                <w:szCs w:val="24"/>
                <w:highlight w:val="none"/>
                <w:lang w:val="en-US" w:eastAsia="zh-CN" w:bidi="ar"/>
              </w:rPr>
              <w:t>35m</w:t>
            </w:r>
            <w:r>
              <w:rPr>
                <w:rFonts w:hint="default" w:ascii="Times New Roman" w:hAnsi="Times New Roman" w:eastAsia="宋体" w:cs="Times New Roman"/>
                <w:color w:val="auto"/>
                <w:kern w:val="0"/>
                <w:sz w:val="21"/>
                <w:szCs w:val="24"/>
                <w:highlight w:val="none"/>
                <w:lang w:val="en-US" w:eastAsia="zh-CN" w:bidi="ar"/>
              </w:rPr>
              <w:t>烟囱（DA001）排放，对周围敏感点影响较小。</w:t>
            </w:r>
            <w:r>
              <w:rPr>
                <w:rFonts w:hint="default" w:ascii="Times New Roman" w:hAnsi="Times New Roman" w:eastAsia="宋体" w:cs="Times New Roman"/>
                <w:color w:val="auto"/>
                <w:kern w:val="0"/>
                <w:sz w:val="21"/>
                <w:szCs w:val="21"/>
                <w:highlight w:val="none"/>
                <w:lang w:val="en-US" w:eastAsia="zh-CN"/>
              </w:rPr>
              <w:t>本项目所在地供电等公用设施齐全，环境良好，交通便利。项目周边 1km 范围内没有历史文物古迹、风景名胜区、自然保护区及重要生态功能区。</w:t>
            </w:r>
            <w:r>
              <w:rPr>
                <w:rFonts w:hint="default" w:ascii="Times New Roman" w:hAnsi="Times New Roman" w:eastAsia="宋体" w:cs="Times New Roman"/>
                <w:color w:val="auto"/>
                <w:sz w:val="21"/>
                <w:szCs w:val="24"/>
                <w:highlight w:val="none"/>
                <w:lang w:val="en-US" w:eastAsia="zh-CN"/>
              </w:rPr>
              <w:t>本项目运营期无废水直接排入地表水体，对周围地表水体无影响。</w:t>
            </w:r>
            <w:r>
              <w:rPr>
                <w:rFonts w:hint="default" w:ascii="Times New Roman" w:hAnsi="Times New Roman" w:eastAsia="宋体" w:cs="Times New Roman"/>
                <w:color w:val="auto"/>
                <w:kern w:val="0"/>
                <w:sz w:val="21"/>
                <w:szCs w:val="21"/>
                <w:highlight w:val="none"/>
                <w:lang w:val="en-US" w:eastAsia="zh-CN"/>
              </w:rPr>
              <w:t>综上所述，本项目的选址合理。</w:t>
            </w:r>
          </w:p>
          <w:p w14:paraId="0396E437">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default" w:ascii="Times New Roman" w:hAnsi="Times New Roman" w:eastAsia="宋体" w:cs="Times New Roman"/>
                <w:color w:val="auto"/>
                <w:sz w:val="21"/>
                <w:highlight w:val="none"/>
              </w:rPr>
            </w:pPr>
          </w:p>
          <w:p w14:paraId="00DA83BA">
            <w:pPr>
              <w:pStyle w:val="112"/>
              <w:jc w:val="both"/>
              <w:rPr>
                <w:rFonts w:hint="default" w:ascii="Times New Roman" w:hAnsi="Times New Roman" w:eastAsia="宋体" w:cs="Times New Roman"/>
                <w:color w:val="auto"/>
                <w:sz w:val="21"/>
                <w:highlight w:val="none"/>
              </w:rPr>
            </w:pPr>
          </w:p>
          <w:p w14:paraId="5BAEBCF8">
            <w:pPr>
              <w:pStyle w:val="112"/>
              <w:jc w:val="both"/>
              <w:rPr>
                <w:rFonts w:hint="default" w:ascii="Times New Roman" w:hAnsi="Times New Roman" w:eastAsia="宋体" w:cs="Times New Roman"/>
                <w:color w:val="auto"/>
                <w:sz w:val="21"/>
                <w:highlight w:val="none"/>
              </w:rPr>
            </w:pPr>
          </w:p>
        </w:tc>
      </w:tr>
    </w:tbl>
    <w:p w14:paraId="1B2AB332">
      <w:pPr>
        <w:pStyle w:val="15"/>
        <w:bidi w:val="0"/>
        <w:rPr>
          <w:rFonts w:hint="default" w:ascii="Times New Roman" w:hAnsi="Times New Roman" w:cs="Times New Roman"/>
          <w:color w:val="auto"/>
          <w:highlight w:val="none"/>
        </w:rPr>
        <w:sectPr>
          <w:footerReference r:id="rId6" w:type="default"/>
          <w:pgSz w:w="11906" w:h="16838"/>
          <w:pgMar w:top="1701" w:right="1531" w:bottom="1701" w:left="1531" w:header="851" w:footer="851" w:gutter="0"/>
          <w:pgBorders>
            <w:top w:val="none" w:sz="0" w:space="0"/>
            <w:left w:val="none" w:sz="0" w:space="0"/>
            <w:bottom w:val="none" w:sz="0" w:space="0"/>
            <w:right w:val="none" w:sz="0" w:space="0"/>
          </w:pgBorders>
          <w:pgNumType w:fmt="decimal" w:start="1"/>
          <w:cols w:space="720" w:num="1"/>
          <w:docGrid w:linePitch="312" w:charSpace="0"/>
        </w:sectPr>
      </w:pPr>
      <w:bookmarkStart w:id="15" w:name="_Toc25569"/>
      <w:bookmarkStart w:id="16" w:name="_Toc82778251"/>
    </w:p>
    <w:p w14:paraId="2A66876D">
      <w:pPr>
        <w:pStyle w:val="36"/>
        <w:keepNext/>
        <w:widowControl w:val="0"/>
        <w:jc w:val="center"/>
        <w:outlineLvl w:val="0"/>
        <w:rPr>
          <w:rFonts w:hint="eastAsia" w:ascii="黑体" w:hAnsi="黑体" w:eastAsia="黑体" w:cs="黑体"/>
          <w:snapToGrid w:val="0"/>
          <w:color w:val="auto"/>
          <w:sz w:val="30"/>
          <w:szCs w:val="30"/>
          <w:highlight w:val="none"/>
        </w:rPr>
      </w:pPr>
      <w:bookmarkStart w:id="17" w:name="_Toc6059"/>
      <w:bookmarkStart w:id="18" w:name="_Toc24532"/>
      <w:r>
        <w:rPr>
          <w:rFonts w:hint="eastAsia" w:ascii="黑体" w:hAnsi="黑体" w:eastAsia="黑体" w:cs="黑体"/>
          <w:snapToGrid w:val="0"/>
          <w:color w:val="auto"/>
          <w:sz w:val="30"/>
          <w:szCs w:val="30"/>
          <w:highlight w:val="none"/>
        </w:rPr>
        <w:t>二、建设项目工程分析</w:t>
      </w:r>
      <w:bookmarkEnd w:id="15"/>
      <w:bookmarkEnd w:id="16"/>
      <w:bookmarkEnd w:id="17"/>
      <w:bookmarkEnd w:id="18"/>
    </w:p>
    <w:tbl>
      <w:tblPr>
        <w:tblStyle w:val="4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42"/>
      </w:tblGrid>
      <w:tr w14:paraId="6A08DA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23" w:type="dxa"/>
            <w:noWrap w:val="0"/>
            <w:vAlign w:val="center"/>
          </w:tcPr>
          <w:p w14:paraId="3653FF7A">
            <w:pPr>
              <w:pStyle w:val="36"/>
              <w:adjustRightInd w:val="0"/>
              <w:snapToGrid w:val="0"/>
              <w:spacing w:before="0" w:beforeAutospacing="0" w:after="0" w:afterAutospacing="0"/>
              <w:jc w:val="center"/>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建设内容</w:t>
            </w:r>
          </w:p>
        </w:tc>
        <w:tc>
          <w:tcPr>
            <w:tcW w:w="8142" w:type="dxa"/>
            <w:noWrap w:val="0"/>
            <w:vAlign w:val="top"/>
          </w:tcPr>
          <w:p w14:paraId="11C607A9">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b/>
                <w:bCs/>
                <w:color w:val="auto"/>
                <w:sz w:val="21"/>
                <w:szCs w:val="24"/>
                <w:highlight w:val="none"/>
                <w:lang w:val="en-US" w:eastAsia="zh-CN"/>
              </w:rPr>
            </w:pPr>
            <w:r>
              <w:rPr>
                <w:rFonts w:hint="eastAsia" w:ascii="Times New Roman" w:hAnsi="Times New Roman" w:eastAsia="宋体" w:cs="宋体"/>
                <w:b/>
                <w:bCs/>
                <w:color w:val="auto"/>
                <w:sz w:val="21"/>
                <w:highlight w:val="none"/>
              </w:rPr>
              <w:t>1、建设内容及规模</w:t>
            </w:r>
          </w:p>
          <w:p w14:paraId="4263F620">
            <w:pPr>
              <w:spacing w:line="360" w:lineRule="auto"/>
              <w:ind w:firstLine="424" w:firstLineChars="202"/>
              <w:outlineLvl w:val="9"/>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lang w:val="en-US" w:eastAsia="zh-CN"/>
              </w:rPr>
              <w:t>1</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rPr>
              <w:t>项目名称：</w:t>
            </w:r>
            <w:r>
              <w:rPr>
                <w:rFonts w:hint="eastAsia" w:ascii="Times New Roman" w:hAnsi="Times New Roman" w:eastAsia="宋体" w:cstheme="minorEastAsia"/>
                <w:color w:val="auto"/>
                <w:sz w:val="21"/>
                <w:szCs w:val="24"/>
                <w:u w:val="none"/>
              </w:rPr>
              <w:t>铁力市红博农资销售有限责任公司</w:t>
            </w:r>
            <w:r>
              <w:rPr>
                <w:rFonts w:hint="eastAsia" w:ascii="Times New Roman" w:hAnsi="Times New Roman" w:eastAsia="宋体" w:cstheme="minorEastAsia"/>
                <w:color w:val="auto"/>
                <w:sz w:val="21"/>
                <w:szCs w:val="24"/>
                <w:u w:val="none"/>
                <w:lang w:val="en-US" w:eastAsia="zh-CN"/>
              </w:rPr>
              <w:t>生物质锅炉建设项目</w:t>
            </w:r>
          </w:p>
          <w:p w14:paraId="237A0E1F">
            <w:pPr>
              <w:spacing w:line="360" w:lineRule="auto"/>
              <w:ind w:firstLine="424" w:firstLineChars="202"/>
              <w:outlineLvl w:val="9"/>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lang w:val="en-US" w:eastAsia="zh-CN"/>
              </w:rPr>
              <w:t>2</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rPr>
              <w:t>建设单位</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theme="minorEastAsia"/>
                <w:color w:val="auto"/>
                <w:sz w:val="21"/>
                <w:szCs w:val="24"/>
                <w:u w:val="none"/>
              </w:rPr>
              <w:t>铁力市红博农资销售有限责任公司</w:t>
            </w:r>
          </w:p>
          <w:p w14:paraId="69F9B4B7">
            <w:pPr>
              <w:spacing w:line="360" w:lineRule="auto"/>
              <w:ind w:left="2100" w:leftChars="200" w:hanging="1680" w:hangingChars="800"/>
              <w:outlineLvl w:val="9"/>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lang w:val="en-US" w:eastAsia="zh-CN"/>
              </w:rPr>
              <w:t>3</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rPr>
              <w:t>建设地点：</w:t>
            </w:r>
            <w:r>
              <w:rPr>
                <w:rFonts w:hint="eastAsia" w:ascii="Times New Roman" w:hAnsi="Times New Roman" w:eastAsia="宋体" w:cs="宋体"/>
                <w:color w:val="auto"/>
                <w:sz w:val="21"/>
                <w:szCs w:val="24"/>
                <w:highlight w:val="none"/>
                <w:lang w:val="en-US" w:eastAsia="zh-CN"/>
              </w:rPr>
              <w:t>黑龙江省伊春市铁力市王杨乡西河砖厂西侧哈伊路南，铁力市红博农资销售有限责任公司院内</w:t>
            </w:r>
          </w:p>
          <w:p w14:paraId="2037452F">
            <w:pPr>
              <w:spacing w:line="360" w:lineRule="auto"/>
              <w:ind w:firstLine="424" w:firstLineChars="202"/>
              <w:outlineLvl w:val="9"/>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lang w:val="en-US" w:eastAsia="zh-CN"/>
              </w:rPr>
              <w:t>4</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rPr>
              <w:t>建设性质：</w:t>
            </w:r>
            <w:r>
              <w:rPr>
                <w:rFonts w:hint="eastAsia" w:ascii="Times New Roman" w:hAnsi="Times New Roman" w:eastAsia="宋体" w:cs="宋体"/>
                <w:color w:val="auto"/>
                <w:sz w:val="21"/>
                <w:szCs w:val="24"/>
                <w:highlight w:val="none"/>
                <w:lang w:val="en-US" w:eastAsia="zh-CN"/>
              </w:rPr>
              <w:t>改建</w:t>
            </w:r>
          </w:p>
          <w:p w14:paraId="18948F88">
            <w:pPr>
              <w:spacing w:line="360" w:lineRule="auto"/>
              <w:ind w:firstLine="424" w:firstLineChars="202"/>
              <w:outlineLvl w:val="9"/>
              <w:rPr>
                <w:rFonts w:hint="eastAsia" w:ascii="Times New Roman" w:hAnsi="Times New Roman" w:eastAsia="宋体" w:cs="宋体"/>
                <w:color w:val="auto"/>
                <w:sz w:val="21"/>
                <w:szCs w:val="24"/>
                <w:highlight w:val="none"/>
                <w:lang w:val="en-US"/>
              </w:rPr>
            </w:pP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lang w:val="en-US" w:eastAsia="zh-CN"/>
              </w:rPr>
              <w:t>5</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rPr>
              <w:t>项目投资：</w:t>
            </w:r>
            <w:r>
              <w:rPr>
                <w:rFonts w:hint="eastAsia" w:cs="宋体"/>
                <w:color w:val="auto"/>
                <w:sz w:val="21"/>
                <w:szCs w:val="24"/>
                <w:highlight w:val="none"/>
                <w:lang w:val="en-US" w:eastAsia="zh-CN"/>
              </w:rPr>
              <w:t>30</w:t>
            </w:r>
            <w:r>
              <w:rPr>
                <w:rFonts w:hint="eastAsia" w:ascii="Times New Roman" w:hAnsi="Times New Roman" w:eastAsia="宋体" w:cs="宋体"/>
                <w:color w:val="auto"/>
                <w:sz w:val="21"/>
                <w:highlight w:val="none"/>
                <w:lang w:val="en-US" w:eastAsia="zh-CN"/>
              </w:rPr>
              <w:t>万元</w:t>
            </w:r>
          </w:p>
          <w:p w14:paraId="02E8B690">
            <w:pPr>
              <w:tabs>
                <w:tab w:val="left" w:pos="6280"/>
              </w:tabs>
              <w:spacing w:line="360" w:lineRule="auto"/>
              <w:ind w:firstLine="420" w:firstLineChars="200"/>
              <w:outlineLvl w:val="9"/>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lang w:val="en-US" w:eastAsia="zh-CN"/>
              </w:rPr>
              <w:t>6</w:t>
            </w:r>
            <w:r>
              <w:rPr>
                <w:rFonts w:hint="eastAsia" w:ascii="Times New Roman" w:hAnsi="Times New Roman" w:eastAsia="宋体" w:cs="宋体"/>
                <w:color w:val="auto"/>
                <w:sz w:val="21"/>
                <w:szCs w:val="24"/>
                <w:highlight w:val="none"/>
                <w:lang w:eastAsia="zh-CN"/>
              </w:rPr>
              <w:t>）工作</w:t>
            </w:r>
            <w:r>
              <w:rPr>
                <w:rFonts w:hint="eastAsia" w:ascii="Times New Roman" w:hAnsi="Times New Roman" w:eastAsia="宋体" w:cs="宋体"/>
                <w:color w:val="auto"/>
                <w:sz w:val="21"/>
                <w:szCs w:val="24"/>
                <w:highlight w:val="none"/>
              </w:rPr>
              <w:t>时间：</w:t>
            </w:r>
            <w:r>
              <w:rPr>
                <w:rFonts w:hint="eastAsia" w:ascii="Times New Roman" w:hAnsi="Times New Roman" w:eastAsia="宋体" w:cs="宋体"/>
                <w:color w:val="auto"/>
                <w:sz w:val="21"/>
                <w:szCs w:val="24"/>
                <w:highlight w:val="none"/>
                <w:lang w:val="en-US" w:eastAsia="zh-CN"/>
              </w:rPr>
              <w:t>年工作时间180天，每天运行24小时。</w:t>
            </w:r>
          </w:p>
          <w:p w14:paraId="5AD68C6B">
            <w:pPr>
              <w:pStyle w:val="142"/>
              <w:spacing w:line="360" w:lineRule="auto"/>
              <w:ind w:firstLine="420" w:firstLineChars="200"/>
              <w:outlineLvl w:val="9"/>
              <w:rPr>
                <w:rFonts w:hint="eastAsia" w:ascii="Times New Roman" w:hAnsi="Times New Roman" w:eastAsia="宋体" w:cs="宋体"/>
                <w:color w:val="auto"/>
                <w:kern w:val="2"/>
                <w:sz w:val="21"/>
                <w:szCs w:val="24"/>
                <w:highlight w:val="none"/>
                <w:lang w:val="en-US" w:eastAsia="zh-CN" w:bidi="ar-SA"/>
              </w:rPr>
            </w:pPr>
            <w:r>
              <w:rPr>
                <w:rFonts w:hint="eastAsia" w:ascii="Times New Roman" w:hAnsi="Times New Roman" w:eastAsia="宋体" w:cs="宋体"/>
                <w:color w:val="auto"/>
                <w:kern w:val="2"/>
                <w:sz w:val="21"/>
                <w:szCs w:val="24"/>
                <w:highlight w:val="none"/>
                <w:lang w:val="en-US" w:eastAsia="zh-CN" w:bidi="ar-SA"/>
              </w:rPr>
              <w:t>（7）建设内容：本项目利用</w:t>
            </w:r>
            <w:r>
              <w:rPr>
                <w:rFonts w:hint="eastAsia" w:ascii="Times New Roman" w:hAnsi="Times New Roman" w:eastAsia="宋体" w:cstheme="minorEastAsia"/>
                <w:color w:val="auto"/>
                <w:sz w:val="21"/>
                <w:szCs w:val="24"/>
                <w:u w:val="none"/>
              </w:rPr>
              <w:t>铁力市红博农资销售有限责任公司</w:t>
            </w:r>
            <w:r>
              <w:rPr>
                <w:rFonts w:hint="eastAsia" w:ascii="Times New Roman" w:hAnsi="Times New Roman" w:eastAsia="宋体" w:cs="宋体"/>
                <w:color w:val="auto"/>
                <w:sz w:val="21"/>
                <w:szCs w:val="24"/>
                <w:highlight w:val="none"/>
                <w:lang w:val="en-US" w:eastAsia="zh-CN"/>
              </w:rPr>
              <w:t>现有</w:t>
            </w:r>
            <w:r>
              <w:rPr>
                <w:rFonts w:hint="eastAsia" w:ascii="Times New Roman" w:hAnsi="Times New Roman" w:eastAsia="宋体" w:cs="宋体"/>
                <w:color w:val="auto"/>
                <w:kern w:val="2"/>
                <w:sz w:val="21"/>
                <w:szCs w:val="24"/>
                <w:highlight w:val="none"/>
                <w:lang w:val="en-US" w:eastAsia="zh-CN" w:bidi="ar-SA"/>
              </w:rPr>
              <w:t>锅炉房建设本项目，锅炉房内现有一台2.8MW燃煤锅炉用于</w:t>
            </w:r>
            <w:r>
              <w:rPr>
                <w:rFonts w:hint="eastAsia" w:ascii="Times New Roman" w:hAnsi="Times New Roman" w:cs="宋体"/>
                <w:color w:val="auto"/>
                <w:kern w:val="2"/>
                <w:sz w:val="21"/>
                <w:szCs w:val="24"/>
                <w:highlight w:val="none"/>
                <w:lang w:val="en-US" w:eastAsia="zh-CN" w:bidi="ar-SA"/>
              </w:rPr>
              <w:t>铁力农资农机种子综合大市场</w:t>
            </w:r>
            <w:r>
              <w:rPr>
                <w:rFonts w:hint="eastAsia" w:ascii="Times New Roman" w:hAnsi="Times New Roman" w:eastAsia="宋体" w:cs="宋体"/>
                <w:color w:val="auto"/>
                <w:kern w:val="2"/>
                <w:sz w:val="21"/>
                <w:szCs w:val="24"/>
                <w:highlight w:val="none"/>
                <w:lang w:val="en-US" w:eastAsia="zh-CN" w:bidi="ar-SA"/>
              </w:rPr>
              <w:t>供暖，供暖面积为</w:t>
            </w:r>
            <w:r>
              <w:rPr>
                <w:rFonts w:hint="eastAsia" w:ascii="Times New Roman" w:hAnsi="Times New Roman" w:cs="宋体"/>
                <w:color w:val="auto"/>
                <w:kern w:val="2"/>
                <w:sz w:val="21"/>
                <w:szCs w:val="24"/>
                <w:highlight w:val="none"/>
                <w:lang w:val="en-US" w:eastAsia="zh-CN" w:bidi="ar-SA"/>
              </w:rPr>
              <w:t>12</w:t>
            </w:r>
            <w:r>
              <w:rPr>
                <w:rFonts w:hint="eastAsia" w:ascii="Times New Roman" w:hAnsi="Times New Roman" w:eastAsia="宋体" w:cs="宋体"/>
                <w:color w:val="auto"/>
                <w:kern w:val="2"/>
                <w:sz w:val="21"/>
                <w:szCs w:val="24"/>
                <w:highlight w:val="none"/>
                <w:lang w:val="en-US" w:eastAsia="zh-CN" w:bidi="ar-SA"/>
              </w:rPr>
              <w:t>000m</w:t>
            </w:r>
            <w:r>
              <w:rPr>
                <w:rFonts w:hint="eastAsia" w:ascii="Times New Roman" w:hAnsi="Times New Roman" w:eastAsia="宋体" w:cs="宋体"/>
                <w:color w:val="auto"/>
                <w:kern w:val="2"/>
                <w:sz w:val="21"/>
                <w:szCs w:val="24"/>
                <w:highlight w:val="none"/>
                <w:vertAlign w:val="superscript"/>
                <w:lang w:val="en-US" w:eastAsia="zh-CN" w:bidi="ar-SA"/>
              </w:rPr>
              <w:t>2</w:t>
            </w:r>
            <w:r>
              <w:rPr>
                <w:rFonts w:hint="eastAsia" w:ascii="Times New Roman" w:hAnsi="Times New Roman" w:eastAsia="宋体" w:cs="宋体"/>
                <w:color w:val="auto"/>
                <w:kern w:val="2"/>
                <w:sz w:val="21"/>
                <w:szCs w:val="24"/>
                <w:highlight w:val="none"/>
                <w:lang w:val="en-US" w:eastAsia="zh-CN" w:bidi="ar-SA"/>
              </w:rPr>
              <w:t>。由于2.8MW燃煤锅炉不符合环保要求，因此企业决定将现有一台2.8MW燃煤锅炉改建为一台2.8MW燃生物质锅炉。</w:t>
            </w:r>
          </w:p>
          <w:p w14:paraId="73AA3E0B">
            <w:pPr>
              <w:pStyle w:val="142"/>
              <w:spacing w:line="360" w:lineRule="auto"/>
              <w:ind w:firstLine="420" w:firstLineChars="200"/>
              <w:outlineLvl w:val="9"/>
              <w:rPr>
                <w:rFonts w:hint="eastAsia" w:ascii="Times New Roman" w:hAnsi="Times New Roman" w:eastAsia="宋体" w:cs="宋体"/>
                <w:color w:val="auto"/>
                <w:kern w:val="2"/>
                <w:sz w:val="21"/>
                <w:szCs w:val="24"/>
                <w:highlight w:val="none"/>
                <w:lang w:val="en-US" w:eastAsia="zh-CN" w:bidi="ar-SA"/>
              </w:rPr>
            </w:pPr>
            <w:r>
              <w:rPr>
                <w:rFonts w:hint="eastAsia" w:ascii="Times New Roman" w:hAnsi="Times New Roman" w:eastAsia="宋体" w:cs="宋体"/>
                <w:color w:val="auto"/>
                <w:kern w:val="2"/>
                <w:sz w:val="21"/>
                <w:szCs w:val="24"/>
                <w:highlight w:val="none"/>
                <w:lang w:val="en-US" w:eastAsia="zh-CN" w:bidi="ar-SA"/>
              </w:rPr>
              <w:t>根据企业提供运营生产数据，现有一台2.8MW燃煤锅炉年燃煤量为</w:t>
            </w:r>
            <w:r>
              <w:rPr>
                <w:rFonts w:hint="eastAsia" w:ascii="Times New Roman" w:hAnsi="Times New Roman" w:cs="宋体"/>
                <w:color w:val="auto"/>
                <w:kern w:val="2"/>
                <w:sz w:val="21"/>
                <w:szCs w:val="24"/>
                <w:highlight w:val="none"/>
                <w:lang w:val="en-US" w:eastAsia="zh-CN" w:bidi="ar-SA"/>
              </w:rPr>
              <w:t>4</w:t>
            </w:r>
            <w:r>
              <w:rPr>
                <w:rFonts w:hint="eastAsia" w:ascii="Times New Roman" w:hAnsi="Times New Roman" w:eastAsia="宋体" w:cs="宋体"/>
                <w:color w:val="auto"/>
                <w:kern w:val="2"/>
                <w:sz w:val="21"/>
                <w:szCs w:val="24"/>
                <w:highlight w:val="none"/>
                <w:lang w:val="en-US" w:eastAsia="zh-CN" w:bidi="ar-SA"/>
              </w:rPr>
              <w:t>00t/a，</w:t>
            </w:r>
            <w:r>
              <w:rPr>
                <w:rFonts w:hint="eastAsia" w:ascii="Times New Roman" w:hAnsi="Times New Roman" w:eastAsia="宋体" w:cs="宋体"/>
                <w:color w:val="auto"/>
                <w:sz w:val="21"/>
                <w:highlight w:val="none"/>
              </w:rPr>
              <w:t>煤低位热值为</w:t>
            </w:r>
            <w:r>
              <w:rPr>
                <w:rFonts w:hint="eastAsia" w:ascii="Times New Roman" w:hAnsi="Times New Roman" w:cs="宋体"/>
                <w:color w:val="auto"/>
                <w:sz w:val="21"/>
                <w:highlight w:val="none"/>
                <w:lang w:val="en-US" w:eastAsia="zh-CN"/>
              </w:rPr>
              <w:t>6442kcal</w:t>
            </w:r>
            <w:r>
              <w:rPr>
                <w:rFonts w:hint="eastAsia" w:ascii="Times New Roman" w:hAnsi="Times New Roman" w:eastAsia="宋体" w:cs="宋体"/>
                <w:color w:val="auto"/>
                <w:sz w:val="21"/>
                <w:highlight w:val="none"/>
              </w:rPr>
              <w:t>/kg，</w:t>
            </w:r>
            <w:r>
              <w:rPr>
                <w:rFonts w:hint="eastAsia" w:ascii="Times New Roman" w:hAnsi="Times New Roman" w:eastAsia="宋体" w:cs="宋体"/>
                <w:color w:val="auto"/>
                <w:sz w:val="21"/>
                <w:highlight w:val="none"/>
                <w:lang w:val="en-US" w:eastAsia="zh-CN"/>
              </w:rPr>
              <w:t>因此可提供</w:t>
            </w:r>
            <w:r>
              <w:rPr>
                <w:rFonts w:hint="eastAsia" w:ascii="Times New Roman" w:hAnsi="Times New Roman" w:cs="宋体"/>
                <w:color w:val="auto"/>
                <w:sz w:val="21"/>
                <w:highlight w:val="none"/>
                <w:lang w:val="en-US" w:eastAsia="zh-CN"/>
              </w:rPr>
              <w:t>2.58</w:t>
            </w:r>
            <w:r>
              <w:rPr>
                <w:rFonts w:hint="eastAsia" w:ascii="Times New Roman" w:hAnsi="Times New Roman" w:eastAsia="宋体" w:cs="宋体"/>
                <w:color w:val="auto"/>
                <w:sz w:val="21"/>
                <w:highlight w:val="none"/>
              </w:rPr>
              <w:t>×10</w:t>
            </w:r>
            <w:r>
              <w:rPr>
                <w:rFonts w:hint="eastAsia" w:ascii="Times New Roman" w:hAnsi="Times New Roman" w:cs="宋体"/>
                <w:color w:val="auto"/>
                <w:sz w:val="21"/>
                <w:highlight w:val="none"/>
                <w:vertAlign w:val="superscript"/>
                <w:lang w:val="en-US" w:eastAsia="zh-CN"/>
              </w:rPr>
              <w:t>9</w:t>
            </w:r>
            <w:r>
              <w:rPr>
                <w:rFonts w:hint="eastAsia" w:ascii="Times New Roman" w:hAnsi="Times New Roman" w:eastAsia="宋体" w:cs="宋体"/>
                <w:color w:val="auto"/>
                <w:sz w:val="21"/>
                <w:highlight w:val="none"/>
              </w:rPr>
              <w:t>kcal/a</w:t>
            </w:r>
            <w:r>
              <w:rPr>
                <w:rFonts w:hint="eastAsia" w:ascii="Times New Roman" w:hAnsi="Times New Roman" w:eastAsia="宋体" w:cs="宋体"/>
                <w:color w:val="auto"/>
                <w:sz w:val="21"/>
                <w:highlight w:val="none"/>
                <w:lang w:val="en-US" w:eastAsia="zh-CN"/>
              </w:rPr>
              <w:t>热量。本次将燃煤锅炉改造成</w:t>
            </w:r>
            <w:r>
              <w:rPr>
                <w:rFonts w:hint="eastAsia" w:ascii="Times New Roman" w:hAnsi="Times New Roman" w:eastAsia="宋体" w:cs="宋体"/>
                <w:color w:val="auto"/>
                <w:kern w:val="2"/>
                <w:sz w:val="21"/>
                <w:szCs w:val="24"/>
                <w:highlight w:val="none"/>
                <w:lang w:val="en-US" w:eastAsia="zh-CN" w:bidi="ar-SA"/>
              </w:rPr>
              <w:t>燃生物质锅炉后最大可提供热量为</w:t>
            </w:r>
            <w:r>
              <w:rPr>
                <w:rFonts w:hint="eastAsia" w:ascii="Times New Roman" w:hAnsi="Times New Roman" w:eastAsia="宋体" w:cs="宋体"/>
                <w:color w:val="auto"/>
                <w:sz w:val="21"/>
                <w:highlight w:val="none"/>
                <w:lang w:val="en-US" w:eastAsia="zh-CN"/>
              </w:rPr>
              <w:t>1.</w:t>
            </w:r>
            <w:r>
              <w:rPr>
                <w:rFonts w:hint="eastAsia" w:ascii="Times New Roman" w:hAnsi="Times New Roman" w:cs="宋体"/>
                <w:color w:val="auto"/>
                <w:sz w:val="21"/>
                <w:highlight w:val="none"/>
                <w:lang w:val="en-US" w:eastAsia="zh-CN"/>
              </w:rPr>
              <w:t>22</w:t>
            </w:r>
            <w:r>
              <w:rPr>
                <w:rFonts w:hint="eastAsia" w:ascii="Times New Roman" w:hAnsi="Times New Roman" w:eastAsia="宋体" w:cs="宋体"/>
                <w:color w:val="auto"/>
                <w:sz w:val="21"/>
                <w:highlight w:val="none"/>
              </w:rPr>
              <w:t>×10</w:t>
            </w:r>
            <w:r>
              <w:rPr>
                <w:rFonts w:hint="eastAsia" w:ascii="Times New Roman" w:hAnsi="Times New Roman" w:eastAsia="宋体" w:cs="宋体"/>
                <w:color w:val="auto"/>
                <w:sz w:val="21"/>
                <w:highlight w:val="none"/>
                <w:vertAlign w:val="superscript"/>
                <w:lang w:val="en-US" w:eastAsia="zh-CN"/>
              </w:rPr>
              <w:t>10</w:t>
            </w:r>
            <w:r>
              <w:rPr>
                <w:rFonts w:hint="eastAsia" w:ascii="Times New Roman" w:hAnsi="Times New Roman" w:eastAsia="宋体" w:cs="宋体"/>
                <w:color w:val="auto"/>
                <w:sz w:val="21"/>
                <w:highlight w:val="none"/>
              </w:rPr>
              <w:t>kcal/a，</w:t>
            </w:r>
            <w:r>
              <w:rPr>
                <w:rFonts w:hint="eastAsia" w:ascii="Times New Roman" w:hAnsi="Times New Roman" w:eastAsia="宋体" w:cs="宋体"/>
                <w:color w:val="auto"/>
                <w:sz w:val="21"/>
                <w:highlight w:val="none"/>
                <w:lang w:val="en-US" w:eastAsia="zh-CN"/>
              </w:rPr>
              <w:t>改造后可完全满足</w:t>
            </w:r>
            <w:r>
              <w:rPr>
                <w:rFonts w:hint="eastAsia" w:ascii="Times New Roman" w:hAnsi="Times New Roman" w:cs="宋体"/>
                <w:color w:val="auto"/>
                <w:kern w:val="2"/>
                <w:sz w:val="21"/>
                <w:szCs w:val="24"/>
                <w:highlight w:val="none"/>
                <w:lang w:val="en-US" w:eastAsia="zh-CN" w:bidi="ar-SA"/>
              </w:rPr>
              <w:t>铁力农资农机种子综合大市场12</w:t>
            </w:r>
            <w:r>
              <w:rPr>
                <w:rFonts w:hint="eastAsia" w:ascii="Times New Roman" w:hAnsi="Times New Roman" w:eastAsia="宋体" w:cs="宋体"/>
                <w:color w:val="auto"/>
                <w:kern w:val="2"/>
                <w:sz w:val="21"/>
                <w:szCs w:val="24"/>
                <w:highlight w:val="none"/>
                <w:lang w:val="en-US" w:eastAsia="zh-CN" w:bidi="ar-SA"/>
              </w:rPr>
              <w:t>000m</w:t>
            </w:r>
            <w:r>
              <w:rPr>
                <w:rFonts w:hint="eastAsia" w:ascii="Times New Roman" w:hAnsi="Times New Roman" w:eastAsia="宋体" w:cs="宋体"/>
                <w:color w:val="auto"/>
                <w:kern w:val="2"/>
                <w:sz w:val="21"/>
                <w:szCs w:val="24"/>
                <w:highlight w:val="none"/>
                <w:vertAlign w:val="superscript"/>
                <w:lang w:val="en-US" w:eastAsia="zh-CN" w:bidi="ar-SA"/>
              </w:rPr>
              <w:t>2</w:t>
            </w:r>
            <w:r>
              <w:rPr>
                <w:rFonts w:hint="eastAsia" w:ascii="Times New Roman" w:hAnsi="Times New Roman" w:eastAsia="宋体" w:cs="宋体"/>
                <w:color w:val="auto"/>
                <w:kern w:val="2"/>
                <w:sz w:val="21"/>
                <w:szCs w:val="24"/>
                <w:highlight w:val="none"/>
                <w:lang w:val="en-US" w:eastAsia="zh-CN" w:bidi="ar-SA"/>
              </w:rPr>
              <w:t>供暖面积需求。</w:t>
            </w:r>
          </w:p>
          <w:p w14:paraId="5CCFCC11">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rPr>
              <w:t>建设内容见表2-1。</w:t>
            </w:r>
          </w:p>
          <w:p w14:paraId="00DC45AB">
            <w:pPr>
              <w:pStyle w:val="1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b/>
                <w:color w:val="auto"/>
                <w:sz w:val="21"/>
                <w:szCs w:val="21"/>
                <w:highlight w:val="none"/>
              </w:rPr>
              <w:t>表2-1 项目建设内容一览表</w:t>
            </w:r>
          </w:p>
          <w:tbl>
            <w:tblPr>
              <w:tblStyle w:val="4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320"/>
              <w:gridCol w:w="4432"/>
              <w:gridCol w:w="1439"/>
            </w:tblGrid>
            <w:tr w14:paraId="00C1B2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294" w:type="pct"/>
                  <w:gridSpan w:val="2"/>
                  <w:tcBorders>
                    <w:tl2br w:val="nil"/>
                    <w:tr2bl w:val="nil"/>
                  </w:tcBorders>
                  <w:noWrap w:val="0"/>
                  <w:vAlign w:val="center"/>
                </w:tcPr>
                <w:p w14:paraId="5BFA48F7">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工程项目</w:t>
                  </w:r>
                </w:p>
              </w:tc>
              <w:tc>
                <w:tcPr>
                  <w:tcW w:w="2796" w:type="pct"/>
                  <w:tcBorders>
                    <w:tl2br w:val="nil"/>
                    <w:tr2bl w:val="nil"/>
                  </w:tcBorders>
                  <w:noWrap w:val="0"/>
                  <w:vAlign w:val="center"/>
                </w:tcPr>
                <w:p w14:paraId="6EA385A9">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caps w:val="0"/>
                      <w:color w:val="auto"/>
                      <w:sz w:val="21"/>
                      <w:szCs w:val="21"/>
                      <w:highlight w:val="none"/>
                      <w:lang w:val="en-US" w:eastAsia="zh-CN"/>
                    </w:rPr>
                    <w:t>建设内容</w:t>
                  </w:r>
                </w:p>
              </w:tc>
              <w:tc>
                <w:tcPr>
                  <w:tcW w:w="908" w:type="pct"/>
                  <w:tcBorders>
                    <w:tl2br w:val="nil"/>
                    <w:tr2bl w:val="nil"/>
                  </w:tcBorders>
                  <w:noWrap w:val="0"/>
                  <w:vAlign w:val="center"/>
                </w:tcPr>
                <w:p w14:paraId="428FBC1C">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备注</w:t>
                  </w:r>
                </w:p>
              </w:tc>
            </w:tr>
            <w:tr w14:paraId="7DB550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1" w:type="pct"/>
                  <w:vMerge w:val="restart"/>
                  <w:tcBorders>
                    <w:tl2br w:val="nil"/>
                    <w:tr2bl w:val="nil"/>
                  </w:tcBorders>
                  <w:noWrap w:val="0"/>
                  <w:vAlign w:val="center"/>
                </w:tcPr>
                <w:p w14:paraId="7F494489">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主体</w:t>
                  </w:r>
                </w:p>
                <w:p w14:paraId="0EE0C1E6">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工程</w:t>
                  </w:r>
                </w:p>
              </w:tc>
              <w:tc>
                <w:tcPr>
                  <w:tcW w:w="833" w:type="pct"/>
                  <w:tcBorders>
                    <w:tl2br w:val="nil"/>
                    <w:tr2bl w:val="nil"/>
                  </w:tcBorders>
                  <w:shd w:val="clear" w:color="auto" w:fill="auto"/>
                  <w:noWrap w:val="0"/>
                  <w:vAlign w:val="center"/>
                </w:tcPr>
                <w:p w14:paraId="6A6B0378">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kern w:val="2"/>
                      <w:sz w:val="21"/>
                      <w:szCs w:val="21"/>
                      <w:highlight w:val="none"/>
                      <w:lang w:val="en-US" w:eastAsia="zh-CN" w:bidi="ar-SA"/>
                    </w:rPr>
                  </w:pPr>
                  <w:r>
                    <w:rPr>
                      <w:rFonts w:hint="eastAsia" w:ascii="Times New Roman" w:hAnsi="Times New Roman" w:eastAsia="宋体" w:cs="宋体"/>
                      <w:caps w:val="0"/>
                      <w:color w:val="auto"/>
                      <w:sz w:val="21"/>
                      <w:szCs w:val="21"/>
                      <w:highlight w:val="none"/>
                      <w:lang w:val="en-US" w:eastAsia="zh-CN"/>
                    </w:rPr>
                    <w:t>锅炉房</w:t>
                  </w:r>
                </w:p>
              </w:tc>
              <w:tc>
                <w:tcPr>
                  <w:tcW w:w="2796" w:type="pct"/>
                  <w:tcBorders>
                    <w:tl2br w:val="nil"/>
                    <w:tr2bl w:val="nil"/>
                  </w:tcBorders>
                  <w:shd w:val="clear" w:color="auto" w:fill="auto"/>
                  <w:noWrap w:val="0"/>
                  <w:vAlign w:val="center"/>
                </w:tcPr>
                <w:p w14:paraId="204B0849">
                  <w:pPr>
                    <w:pStyle w:val="292"/>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kern w:val="2"/>
                      <w:sz w:val="21"/>
                      <w:szCs w:val="21"/>
                      <w:highlight w:val="none"/>
                      <w:lang w:val="en-US" w:eastAsia="zh-CN" w:bidi="ar-SA"/>
                    </w:rPr>
                  </w:pPr>
                  <w:r>
                    <w:rPr>
                      <w:rFonts w:hint="eastAsia" w:ascii="Times New Roman" w:hAnsi="Times New Roman" w:eastAsia="宋体" w:cs="宋体"/>
                      <w:color w:val="auto"/>
                      <w:kern w:val="0"/>
                      <w:sz w:val="21"/>
                      <w:szCs w:val="21"/>
                      <w:highlight w:val="none"/>
                      <w:lang w:val="en-US" w:eastAsia="zh-CN" w:bidi="ar"/>
                    </w:rPr>
                    <w:t>建筑面积</w:t>
                  </w:r>
                  <w:r>
                    <w:rPr>
                      <w:rFonts w:hint="eastAsia" w:cs="宋体"/>
                      <w:bCs/>
                      <w:color w:val="auto"/>
                      <w:sz w:val="21"/>
                      <w:szCs w:val="21"/>
                      <w:highlight w:val="none"/>
                      <w:lang w:val="en-US" w:eastAsia="zh-CN"/>
                    </w:rPr>
                    <w:t>400</w:t>
                  </w:r>
                  <w:r>
                    <w:rPr>
                      <w:rFonts w:hint="eastAsia" w:ascii="Times New Roman" w:hAnsi="Times New Roman" w:eastAsia="宋体" w:cs="宋体"/>
                      <w:caps w:val="0"/>
                      <w:color w:val="auto"/>
                      <w:sz w:val="21"/>
                      <w:szCs w:val="21"/>
                      <w:highlight w:val="none"/>
                    </w:rPr>
                    <w:t>m</w:t>
                  </w:r>
                  <w:r>
                    <w:rPr>
                      <w:rFonts w:hint="eastAsia" w:ascii="Times New Roman" w:hAnsi="Times New Roman" w:eastAsia="宋体" w:cs="宋体"/>
                      <w:caps w:val="0"/>
                      <w:color w:val="auto"/>
                      <w:sz w:val="21"/>
                      <w:szCs w:val="21"/>
                      <w:highlight w:val="none"/>
                      <w:vertAlign w:val="superscript"/>
                    </w:rPr>
                    <w:t>2</w:t>
                  </w:r>
                  <w:r>
                    <w:rPr>
                      <w:rFonts w:hint="eastAsia" w:ascii="Times New Roman" w:hAnsi="Times New Roman" w:eastAsia="宋体" w:cs="宋体"/>
                      <w:color w:val="auto"/>
                      <w:kern w:val="0"/>
                      <w:sz w:val="21"/>
                      <w:szCs w:val="21"/>
                      <w:highlight w:val="none"/>
                      <w:lang w:val="en-US" w:eastAsia="zh-CN" w:bidi="ar"/>
                    </w:rPr>
                    <w:t>，现有1台2.8MW燃煤锅炉用于</w:t>
                  </w:r>
                  <w:r>
                    <w:rPr>
                      <w:rFonts w:hint="eastAsia" w:ascii="Times New Roman" w:hAnsi="Times New Roman" w:cs="宋体"/>
                      <w:color w:val="auto"/>
                      <w:kern w:val="2"/>
                      <w:sz w:val="21"/>
                      <w:szCs w:val="24"/>
                      <w:highlight w:val="none"/>
                      <w:lang w:val="en-US" w:eastAsia="zh-CN" w:bidi="ar-SA"/>
                    </w:rPr>
                    <w:t>铁力农资农机种子综合大市场</w:t>
                  </w:r>
                  <w:r>
                    <w:rPr>
                      <w:rFonts w:hint="eastAsia" w:ascii="Times New Roman" w:hAnsi="Times New Roman" w:eastAsia="宋体" w:cs="宋体"/>
                      <w:color w:val="auto"/>
                      <w:kern w:val="2"/>
                      <w:sz w:val="21"/>
                      <w:szCs w:val="21"/>
                      <w:highlight w:val="none"/>
                      <w:lang w:val="en-US" w:eastAsia="zh-CN" w:bidi="ar-SA"/>
                    </w:rPr>
                    <w:t>楼供暖</w:t>
                  </w:r>
                  <w:r>
                    <w:rPr>
                      <w:rFonts w:hint="eastAsia" w:ascii="Times New Roman" w:hAnsi="Times New Roman" w:eastAsia="宋体" w:cs="宋体"/>
                      <w:color w:val="auto"/>
                      <w:kern w:val="0"/>
                      <w:sz w:val="21"/>
                      <w:szCs w:val="21"/>
                      <w:highlight w:val="none"/>
                      <w:lang w:val="en-US" w:eastAsia="zh-CN" w:bidi="ar"/>
                    </w:rPr>
                    <w:t>，本次改建为1台2.8MW燃生物质锅炉，</w:t>
                  </w:r>
                  <w:r>
                    <w:rPr>
                      <w:rFonts w:hint="eastAsia" w:ascii="Times New Roman" w:hAnsi="Times New Roman" w:eastAsia="宋体" w:cs="宋体"/>
                      <w:color w:val="auto"/>
                      <w:sz w:val="21"/>
                      <w:szCs w:val="21"/>
                      <w:highlight w:val="none"/>
                      <w:lang w:val="en-US" w:eastAsia="zh-CN"/>
                    </w:rPr>
                    <w:t>锅炉年运行180d、4320h</w:t>
                  </w:r>
                  <w:r>
                    <w:rPr>
                      <w:rFonts w:hint="eastAsia" w:cs="宋体"/>
                      <w:color w:val="auto"/>
                      <w:sz w:val="21"/>
                      <w:szCs w:val="21"/>
                      <w:highlight w:val="none"/>
                      <w:lang w:val="en-US" w:eastAsia="zh-CN"/>
                    </w:rPr>
                    <w:t>。</w:t>
                  </w:r>
                </w:p>
              </w:tc>
              <w:tc>
                <w:tcPr>
                  <w:tcW w:w="908" w:type="pct"/>
                  <w:tcBorders>
                    <w:tl2br w:val="nil"/>
                    <w:tr2bl w:val="nil"/>
                  </w:tcBorders>
                  <w:shd w:val="clear" w:color="auto" w:fill="auto"/>
                  <w:noWrap w:val="0"/>
                  <w:vAlign w:val="center"/>
                </w:tcPr>
                <w:p w14:paraId="3652AAC8">
                  <w:pPr>
                    <w:pStyle w:val="292"/>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kern w:val="2"/>
                      <w:sz w:val="21"/>
                      <w:szCs w:val="21"/>
                      <w:highlight w:val="none"/>
                      <w:lang w:val="en-US" w:eastAsia="zh-CN" w:bidi="ar-SA"/>
                    </w:rPr>
                  </w:pPr>
                  <w:r>
                    <w:rPr>
                      <w:rFonts w:hint="eastAsia" w:ascii="Times New Roman" w:hAnsi="Times New Roman" w:eastAsia="宋体" w:cs="宋体"/>
                      <w:caps w:val="0"/>
                      <w:color w:val="auto"/>
                      <w:kern w:val="2"/>
                      <w:sz w:val="21"/>
                      <w:szCs w:val="21"/>
                      <w:highlight w:val="none"/>
                      <w:lang w:val="en-US" w:eastAsia="zh-CN" w:bidi="ar-SA"/>
                    </w:rPr>
                    <w:t>利用现有燃煤锅炉进行改造</w:t>
                  </w:r>
                </w:p>
              </w:tc>
            </w:tr>
            <w:tr w14:paraId="3BCDE1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461" w:type="pct"/>
                  <w:vMerge w:val="continue"/>
                  <w:tcBorders>
                    <w:tl2br w:val="nil"/>
                    <w:tr2bl w:val="nil"/>
                  </w:tcBorders>
                  <w:noWrap w:val="0"/>
                  <w:vAlign w:val="center"/>
                </w:tcPr>
                <w:p w14:paraId="1CD76080">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rPr>
                  </w:pPr>
                </w:p>
              </w:tc>
              <w:tc>
                <w:tcPr>
                  <w:tcW w:w="833" w:type="pct"/>
                  <w:tcBorders>
                    <w:tl2br w:val="nil"/>
                    <w:tr2bl w:val="nil"/>
                  </w:tcBorders>
                  <w:shd w:val="clear" w:color="auto" w:fill="auto"/>
                  <w:noWrap w:val="0"/>
                  <w:vAlign w:val="center"/>
                </w:tcPr>
                <w:p w14:paraId="1A2B3E94">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宋体"/>
                      <w:caps w:val="0"/>
                      <w:color w:val="auto"/>
                      <w:sz w:val="21"/>
                      <w:szCs w:val="21"/>
                      <w:highlight w:val="none"/>
                      <w:lang w:val="en-US" w:eastAsia="zh-CN"/>
                    </w:rPr>
                  </w:pPr>
                  <w:r>
                    <w:rPr>
                      <w:rFonts w:hint="eastAsia" w:cs="宋体"/>
                      <w:caps w:val="0"/>
                      <w:color w:val="auto"/>
                      <w:sz w:val="21"/>
                      <w:szCs w:val="21"/>
                      <w:highlight w:val="none"/>
                      <w:lang w:val="en-US" w:eastAsia="zh-CN"/>
                    </w:rPr>
                    <w:t>水房</w:t>
                  </w:r>
                </w:p>
              </w:tc>
              <w:tc>
                <w:tcPr>
                  <w:tcW w:w="2796" w:type="pct"/>
                  <w:tcBorders>
                    <w:tl2br w:val="nil"/>
                    <w:tr2bl w:val="nil"/>
                  </w:tcBorders>
                  <w:shd w:val="clear" w:color="auto" w:fill="auto"/>
                  <w:noWrap w:val="0"/>
                  <w:vAlign w:val="center"/>
                </w:tcPr>
                <w:p w14:paraId="07E847C1">
                  <w:pPr>
                    <w:pStyle w:val="292"/>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auto"/>
                      <w:kern w:val="0"/>
                      <w:sz w:val="21"/>
                      <w:szCs w:val="21"/>
                      <w:highlight w:val="none"/>
                      <w:vertAlign w:val="baseline"/>
                      <w:lang w:val="en-US" w:eastAsia="zh-CN" w:bidi="ar"/>
                    </w:rPr>
                  </w:pPr>
                  <w:r>
                    <w:rPr>
                      <w:rFonts w:hint="eastAsia" w:cs="宋体"/>
                      <w:color w:val="auto"/>
                      <w:kern w:val="0"/>
                      <w:sz w:val="21"/>
                      <w:szCs w:val="21"/>
                      <w:highlight w:val="none"/>
                      <w:lang w:val="en-US" w:eastAsia="zh-CN" w:bidi="ar"/>
                    </w:rPr>
                    <w:t>建筑面积356</w:t>
                  </w:r>
                  <w:r>
                    <w:rPr>
                      <w:rFonts w:hint="eastAsia" w:ascii="Times New Roman" w:hAnsi="Times New Roman" w:eastAsia="宋体" w:cs="宋体"/>
                      <w:caps w:val="0"/>
                      <w:color w:val="auto"/>
                      <w:sz w:val="21"/>
                      <w:szCs w:val="21"/>
                      <w:highlight w:val="none"/>
                    </w:rPr>
                    <w:t>m</w:t>
                  </w:r>
                  <w:r>
                    <w:rPr>
                      <w:rFonts w:hint="eastAsia" w:ascii="Times New Roman" w:hAnsi="Times New Roman" w:eastAsia="宋体" w:cs="宋体"/>
                      <w:caps w:val="0"/>
                      <w:color w:val="auto"/>
                      <w:sz w:val="21"/>
                      <w:szCs w:val="21"/>
                      <w:highlight w:val="none"/>
                      <w:vertAlign w:val="superscript"/>
                    </w:rPr>
                    <w:t>2</w:t>
                  </w:r>
                  <w:r>
                    <w:rPr>
                      <w:rFonts w:hint="eastAsia" w:ascii="Times New Roman" w:hAnsi="Times New Roman" w:eastAsia="宋体" w:cs="宋体"/>
                      <w:caps w:val="0"/>
                      <w:color w:val="auto"/>
                      <w:sz w:val="21"/>
                      <w:szCs w:val="21"/>
                      <w:highlight w:val="none"/>
                      <w:vertAlign w:val="baseline"/>
                      <w:lang w:eastAsia="zh-CN"/>
                    </w:rPr>
                    <w:t>，</w:t>
                  </w:r>
                  <w:r>
                    <w:rPr>
                      <w:rFonts w:hint="eastAsia" w:ascii="Times New Roman" w:hAnsi="Times New Roman" w:eastAsia="宋体" w:cs="宋体"/>
                      <w:color w:val="auto"/>
                      <w:sz w:val="21"/>
                      <w:szCs w:val="21"/>
                      <w:highlight w:val="none"/>
                    </w:rPr>
                    <w:t>配套软化水制备装置，软化水制备采用</w:t>
                  </w:r>
                  <w:r>
                    <w:rPr>
                      <w:rFonts w:hint="eastAsia" w:cs="宋体"/>
                      <w:color w:val="auto"/>
                      <w:sz w:val="21"/>
                      <w:szCs w:val="21"/>
                      <w:highlight w:val="none"/>
                      <w:lang w:val="en-US" w:eastAsia="zh-CN"/>
                    </w:rPr>
                    <w:t>RO反渗透工艺</w:t>
                  </w:r>
                  <w:r>
                    <w:rPr>
                      <w:rFonts w:hint="eastAsia" w:ascii="Times New Roman" w:hAnsi="Times New Roman" w:eastAsia="宋体" w:cs="宋体"/>
                      <w:color w:val="auto"/>
                      <w:sz w:val="21"/>
                      <w:szCs w:val="21"/>
                      <w:highlight w:val="none"/>
                      <w:lang w:eastAsia="zh-CN"/>
                    </w:rPr>
                    <w:t>。</w:t>
                  </w:r>
                </w:p>
              </w:tc>
              <w:tc>
                <w:tcPr>
                  <w:tcW w:w="908" w:type="pct"/>
                  <w:tcBorders>
                    <w:tl2br w:val="nil"/>
                    <w:tr2bl w:val="nil"/>
                  </w:tcBorders>
                  <w:shd w:val="clear" w:color="auto" w:fill="auto"/>
                  <w:noWrap w:val="0"/>
                  <w:vAlign w:val="center"/>
                </w:tcPr>
                <w:p w14:paraId="1DCFC62F">
                  <w:pPr>
                    <w:pStyle w:val="292"/>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宋体"/>
                      <w:caps w:val="0"/>
                      <w:color w:val="auto"/>
                      <w:kern w:val="2"/>
                      <w:sz w:val="21"/>
                      <w:szCs w:val="21"/>
                      <w:highlight w:val="none"/>
                      <w:lang w:val="en-US" w:eastAsia="zh-CN" w:bidi="ar-SA"/>
                    </w:rPr>
                  </w:pPr>
                  <w:r>
                    <w:rPr>
                      <w:rFonts w:hint="eastAsia" w:cs="宋体"/>
                      <w:caps w:val="0"/>
                      <w:color w:val="auto"/>
                      <w:kern w:val="2"/>
                      <w:sz w:val="21"/>
                      <w:szCs w:val="21"/>
                      <w:highlight w:val="none"/>
                      <w:lang w:val="en-US" w:eastAsia="zh-CN" w:bidi="ar-SA"/>
                    </w:rPr>
                    <w:t>依托现有</w:t>
                  </w:r>
                </w:p>
              </w:tc>
            </w:tr>
            <w:tr w14:paraId="1A1DFC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461" w:type="pct"/>
                  <w:vMerge w:val="restart"/>
                  <w:tcBorders>
                    <w:tl2br w:val="nil"/>
                    <w:tr2bl w:val="nil"/>
                  </w:tcBorders>
                  <w:noWrap w:val="0"/>
                  <w:vAlign w:val="center"/>
                </w:tcPr>
                <w:p w14:paraId="201397AC">
                  <w:pPr>
                    <w:pStyle w:val="292"/>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贮运</w:t>
                  </w:r>
                </w:p>
                <w:p w14:paraId="3E5748DC">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GB"/>
                    </w:rPr>
                  </w:pPr>
                  <w:r>
                    <w:rPr>
                      <w:rFonts w:hint="eastAsia" w:ascii="Times New Roman" w:hAnsi="Times New Roman" w:eastAsia="宋体" w:cs="宋体"/>
                      <w:caps w:val="0"/>
                      <w:color w:val="auto"/>
                      <w:sz w:val="21"/>
                      <w:szCs w:val="21"/>
                      <w:highlight w:val="none"/>
                    </w:rPr>
                    <w:t>工程</w:t>
                  </w:r>
                </w:p>
              </w:tc>
              <w:tc>
                <w:tcPr>
                  <w:tcW w:w="833" w:type="pct"/>
                  <w:tcBorders>
                    <w:tl2br w:val="nil"/>
                    <w:tr2bl w:val="nil"/>
                  </w:tcBorders>
                  <w:noWrap w:val="0"/>
                  <w:vAlign w:val="center"/>
                </w:tcPr>
                <w:p w14:paraId="1FE8C229">
                  <w:pPr>
                    <w:pStyle w:val="292"/>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宋体"/>
                      <w:caps w:val="0"/>
                      <w:color w:val="auto"/>
                      <w:kern w:val="2"/>
                      <w:sz w:val="21"/>
                      <w:szCs w:val="21"/>
                      <w:highlight w:val="none"/>
                      <w:lang w:val="en-US" w:eastAsia="zh-CN" w:bidi="ar-SA"/>
                    </w:rPr>
                  </w:pPr>
                  <w:r>
                    <w:rPr>
                      <w:rFonts w:hint="eastAsia" w:ascii="Times New Roman" w:hAnsi="Times New Roman" w:eastAsia="宋体" w:cs="宋体"/>
                      <w:caps w:val="0"/>
                      <w:color w:val="auto"/>
                      <w:sz w:val="21"/>
                      <w:szCs w:val="21"/>
                      <w:highlight w:val="none"/>
                      <w:lang w:val="en-US" w:eastAsia="zh-CN"/>
                    </w:rPr>
                    <w:t>库</w:t>
                  </w:r>
                  <w:r>
                    <w:rPr>
                      <w:rFonts w:hint="eastAsia" w:cs="宋体"/>
                      <w:caps w:val="0"/>
                      <w:color w:val="auto"/>
                      <w:sz w:val="21"/>
                      <w:szCs w:val="21"/>
                      <w:highlight w:val="none"/>
                      <w:lang w:val="en-US" w:eastAsia="zh-CN"/>
                    </w:rPr>
                    <w:t>房</w:t>
                  </w:r>
                </w:p>
              </w:tc>
              <w:tc>
                <w:tcPr>
                  <w:tcW w:w="2796" w:type="pct"/>
                  <w:tcBorders>
                    <w:tl2br w:val="nil"/>
                    <w:tr2bl w:val="nil"/>
                  </w:tcBorders>
                  <w:noWrap w:val="0"/>
                  <w:vAlign w:val="center"/>
                </w:tcPr>
                <w:p w14:paraId="689FEF88">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Times New Roman" w:hAnsi="Times New Roman" w:eastAsia="宋体" w:cs="宋体"/>
                      <w:caps w:val="0"/>
                      <w:color w:val="auto"/>
                      <w:kern w:val="2"/>
                      <w:sz w:val="21"/>
                      <w:szCs w:val="21"/>
                      <w:highlight w:val="none"/>
                      <w:lang w:val="en-US" w:eastAsia="zh-CN" w:bidi="ar-SA"/>
                    </w:rPr>
                  </w:pPr>
                  <w:r>
                    <w:rPr>
                      <w:rFonts w:hint="eastAsia" w:ascii="Times New Roman" w:hAnsi="Times New Roman" w:eastAsia="宋体" w:cs="宋体"/>
                      <w:color w:val="auto"/>
                      <w:kern w:val="0"/>
                      <w:sz w:val="21"/>
                      <w:szCs w:val="21"/>
                      <w:highlight w:val="none"/>
                      <w:lang w:val="en-US" w:eastAsia="zh-CN" w:bidi="ar"/>
                    </w:rPr>
                    <w:t>位于</w:t>
                  </w:r>
                  <w:r>
                    <w:rPr>
                      <w:rFonts w:hint="eastAsia" w:ascii="Times New Roman" w:hAnsi="Times New Roman" w:eastAsia="宋体" w:cs="宋体"/>
                      <w:caps w:val="0"/>
                      <w:color w:val="auto"/>
                      <w:sz w:val="21"/>
                      <w:szCs w:val="21"/>
                      <w:highlight w:val="none"/>
                      <w:lang w:val="en-US" w:eastAsia="zh-CN"/>
                    </w:rPr>
                    <w:t>锅炉房</w:t>
                  </w:r>
                  <w:r>
                    <w:rPr>
                      <w:rFonts w:hint="eastAsia" w:cs="宋体"/>
                      <w:caps w:val="0"/>
                      <w:color w:val="auto"/>
                      <w:sz w:val="21"/>
                      <w:szCs w:val="21"/>
                      <w:highlight w:val="none"/>
                      <w:lang w:val="en-US" w:eastAsia="zh-CN"/>
                    </w:rPr>
                    <w:t>北侧</w:t>
                  </w:r>
                  <w:r>
                    <w:rPr>
                      <w:rFonts w:hint="eastAsia" w:ascii="Times New Roman" w:hAnsi="Times New Roman" w:eastAsia="宋体" w:cs="宋体"/>
                      <w:color w:val="auto"/>
                      <w:kern w:val="0"/>
                      <w:sz w:val="21"/>
                      <w:szCs w:val="21"/>
                      <w:highlight w:val="none"/>
                      <w:lang w:val="en-US" w:eastAsia="zh-CN" w:bidi="ar"/>
                    </w:rPr>
                    <w:t>，</w:t>
                  </w:r>
                  <w:r>
                    <w:rPr>
                      <w:rFonts w:hint="eastAsia" w:cs="宋体"/>
                      <w:color w:val="auto"/>
                      <w:kern w:val="0"/>
                      <w:sz w:val="21"/>
                      <w:szCs w:val="21"/>
                      <w:highlight w:val="none"/>
                      <w:lang w:val="en-US" w:eastAsia="zh-CN" w:bidi="ar"/>
                    </w:rPr>
                    <w:t>建筑</w:t>
                  </w:r>
                  <w:r>
                    <w:rPr>
                      <w:rFonts w:hint="eastAsia" w:ascii="Times New Roman" w:hAnsi="Times New Roman" w:eastAsia="宋体" w:cs="宋体"/>
                      <w:color w:val="auto"/>
                      <w:kern w:val="0"/>
                      <w:sz w:val="21"/>
                      <w:szCs w:val="21"/>
                      <w:highlight w:val="none"/>
                      <w:lang w:val="en-US" w:eastAsia="zh-CN" w:bidi="ar"/>
                    </w:rPr>
                    <w:t>面积</w:t>
                  </w:r>
                  <w:r>
                    <w:rPr>
                      <w:rFonts w:hint="eastAsia" w:cs="宋体"/>
                      <w:caps w:val="0"/>
                      <w:color w:val="auto"/>
                      <w:kern w:val="2"/>
                      <w:sz w:val="21"/>
                      <w:szCs w:val="21"/>
                      <w:highlight w:val="none"/>
                      <w:lang w:val="en-US" w:eastAsia="zh-CN" w:bidi="ar-SA"/>
                    </w:rPr>
                    <w:t>100</w:t>
                  </w:r>
                  <w:r>
                    <w:rPr>
                      <w:rFonts w:hint="eastAsia" w:ascii="Times New Roman" w:hAnsi="Times New Roman" w:eastAsia="宋体" w:cs="宋体"/>
                      <w:caps w:val="0"/>
                      <w:color w:val="auto"/>
                      <w:sz w:val="21"/>
                      <w:szCs w:val="21"/>
                      <w:highlight w:val="none"/>
                    </w:rPr>
                    <w:t>m</w:t>
                  </w:r>
                  <w:r>
                    <w:rPr>
                      <w:rFonts w:hint="eastAsia" w:ascii="Times New Roman" w:hAnsi="Times New Roman" w:eastAsia="宋体" w:cs="宋体"/>
                      <w:caps w:val="0"/>
                      <w:color w:val="auto"/>
                      <w:sz w:val="21"/>
                      <w:szCs w:val="21"/>
                      <w:highlight w:val="none"/>
                      <w:vertAlign w:val="superscript"/>
                    </w:rPr>
                    <w:t>2</w:t>
                  </w:r>
                  <w:r>
                    <w:rPr>
                      <w:rFonts w:hint="eastAsia" w:ascii="Times New Roman" w:hAnsi="Times New Roman" w:eastAsia="宋体" w:cs="宋体"/>
                      <w:color w:val="auto"/>
                      <w:kern w:val="0"/>
                      <w:sz w:val="21"/>
                      <w:szCs w:val="21"/>
                      <w:highlight w:val="none"/>
                      <w:lang w:val="en-US" w:eastAsia="zh-CN" w:bidi="ar"/>
                    </w:rPr>
                    <w:t>，用于存放生物质成型燃料，最大储存量为100t。</w:t>
                  </w:r>
                </w:p>
              </w:tc>
              <w:tc>
                <w:tcPr>
                  <w:tcW w:w="908" w:type="pct"/>
                  <w:tcBorders>
                    <w:tl2br w:val="nil"/>
                    <w:tr2bl w:val="nil"/>
                  </w:tcBorders>
                  <w:noWrap w:val="0"/>
                  <w:vAlign w:val="center"/>
                </w:tcPr>
                <w:p w14:paraId="7F984962">
                  <w:pPr>
                    <w:pStyle w:val="292"/>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依托现有</w:t>
                  </w:r>
                </w:p>
              </w:tc>
            </w:tr>
            <w:tr w14:paraId="182A4C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461" w:type="pct"/>
                  <w:vMerge w:val="continue"/>
                  <w:tcBorders>
                    <w:tl2br w:val="nil"/>
                    <w:tr2bl w:val="nil"/>
                  </w:tcBorders>
                  <w:noWrap w:val="0"/>
                  <w:vAlign w:val="center"/>
                </w:tcPr>
                <w:p w14:paraId="37366192">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GB"/>
                    </w:rPr>
                  </w:pPr>
                </w:p>
              </w:tc>
              <w:tc>
                <w:tcPr>
                  <w:tcW w:w="833" w:type="pct"/>
                  <w:tcBorders>
                    <w:tl2br w:val="nil"/>
                    <w:tr2bl w:val="nil"/>
                  </w:tcBorders>
                  <w:noWrap w:val="0"/>
                  <w:vAlign w:val="center"/>
                </w:tcPr>
                <w:p w14:paraId="1711163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caps w:val="0"/>
                      <w:color w:val="auto"/>
                      <w:sz w:val="21"/>
                      <w:szCs w:val="21"/>
                      <w:highlight w:val="none"/>
                    </w:rPr>
                    <w:t>灰渣</w:t>
                  </w:r>
                  <w:r>
                    <w:rPr>
                      <w:rFonts w:hint="eastAsia" w:ascii="Times New Roman" w:hAnsi="Times New Roman" w:eastAsia="宋体" w:cs="宋体"/>
                      <w:caps w:val="0"/>
                      <w:color w:val="auto"/>
                      <w:sz w:val="21"/>
                      <w:szCs w:val="21"/>
                      <w:highlight w:val="none"/>
                      <w:lang w:val="en-US" w:eastAsia="zh-CN"/>
                    </w:rPr>
                    <w:t>间</w:t>
                  </w:r>
                </w:p>
              </w:tc>
              <w:tc>
                <w:tcPr>
                  <w:tcW w:w="2796" w:type="pct"/>
                  <w:tcBorders>
                    <w:tl2br w:val="nil"/>
                    <w:tr2bl w:val="nil"/>
                  </w:tcBorders>
                  <w:noWrap w:val="0"/>
                  <w:vAlign w:val="center"/>
                </w:tcPr>
                <w:p w14:paraId="03DD82D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color w:val="auto"/>
                      <w:kern w:val="0"/>
                      <w:sz w:val="21"/>
                      <w:szCs w:val="21"/>
                      <w:highlight w:val="none"/>
                      <w:lang w:val="en-US" w:eastAsia="zh-CN" w:bidi="ar"/>
                    </w:rPr>
                    <w:t>位于</w:t>
                  </w:r>
                  <w:r>
                    <w:rPr>
                      <w:rFonts w:hint="eastAsia" w:ascii="Times New Roman" w:hAnsi="Times New Roman" w:eastAsia="宋体" w:cs="宋体"/>
                      <w:caps w:val="0"/>
                      <w:color w:val="auto"/>
                      <w:sz w:val="21"/>
                      <w:szCs w:val="21"/>
                      <w:highlight w:val="none"/>
                      <w:lang w:val="en-US" w:eastAsia="zh-CN"/>
                    </w:rPr>
                    <w:t>锅炉房内</w:t>
                  </w:r>
                  <w:r>
                    <w:rPr>
                      <w:rFonts w:hint="eastAsia" w:ascii="Times New Roman" w:hAnsi="Times New Roman" w:eastAsia="宋体" w:cs="宋体"/>
                      <w:color w:val="auto"/>
                      <w:kern w:val="0"/>
                      <w:sz w:val="21"/>
                      <w:szCs w:val="21"/>
                      <w:highlight w:val="none"/>
                      <w:lang w:val="en-US" w:eastAsia="zh-CN" w:bidi="ar"/>
                    </w:rPr>
                    <w:t>，占地面积</w:t>
                  </w:r>
                  <w:r>
                    <w:rPr>
                      <w:rFonts w:hint="eastAsia" w:ascii="Times New Roman" w:hAnsi="Times New Roman" w:eastAsia="宋体" w:cs="宋体"/>
                      <w:caps w:val="0"/>
                      <w:color w:val="auto"/>
                      <w:kern w:val="2"/>
                      <w:sz w:val="21"/>
                      <w:szCs w:val="21"/>
                      <w:highlight w:val="none"/>
                      <w:lang w:val="en-US" w:eastAsia="zh-CN" w:bidi="ar-SA"/>
                    </w:rPr>
                    <w:t>10</w:t>
                  </w:r>
                  <w:r>
                    <w:rPr>
                      <w:rFonts w:hint="eastAsia" w:ascii="Times New Roman" w:hAnsi="Times New Roman" w:eastAsia="宋体" w:cs="宋体"/>
                      <w:caps w:val="0"/>
                      <w:color w:val="auto"/>
                      <w:sz w:val="21"/>
                      <w:szCs w:val="21"/>
                      <w:highlight w:val="none"/>
                    </w:rPr>
                    <w:t>m</w:t>
                  </w:r>
                  <w:r>
                    <w:rPr>
                      <w:rFonts w:hint="eastAsia" w:ascii="Times New Roman" w:hAnsi="Times New Roman" w:eastAsia="宋体" w:cs="宋体"/>
                      <w:caps w:val="0"/>
                      <w:color w:val="auto"/>
                      <w:sz w:val="21"/>
                      <w:szCs w:val="21"/>
                      <w:highlight w:val="none"/>
                      <w:vertAlign w:val="superscript"/>
                    </w:rPr>
                    <w:t>2</w:t>
                  </w:r>
                  <w:r>
                    <w:rPr>
                      <w:rFonts w:hint="eastAsia" w:ascii="Times New Roman" w:hAnsi="Times New Roman" w:eastAsia="宋体" w:cs="宋体"/>
                      <w:color w:val="auto"/>
                      <w:kern w:val="0"/>
                      <w:sz w:val="21"/>
                      <w:szCs w:val="21"/>
                      <w:highlight w:val="none"/>
                      <w:lang w:val="en-US" w:eastAsia="zh-CN" w:bidi="ar"/>
                    </w:rPr>
                    <w:t>，用于存放锅炉灰渣，最大储存量为20t。</w:t>
                  </w:r>
                </w:p>
              </w:tc>
              <w:tc>
                <w:tcPr>
                  <w:tcW w:w="908" w:type="pct"/>
                  <w:tcBorders>
                    <w:tl2br w:val="nil"/>
                    <w:tr2bl w:val="nil"/>
                  </w:tcBorders>
                  <w:noWrap w:val="0"/>
                  <w:vAlign w:val="center"/>
                </w:tcPr>
                <w:p w14:paraId="6768CB7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依托现有</w:t>
                  </w:r>
                </w:p>
              </w:tc>
            </w:tr>
            <w:tr w14:paraId="0007FE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461" w:type="pct"/>
                  <w:tcBorders>
                    <w:tl2br w:val="nil"/>
                    <w:tr2bl w:val="nil"/>
                  </w:tcBorders>
                  <w:noWrap w:val="0"/>
                  <w:vAlign w:val="center"/>
                </w:tcPr>
                <w:p w14:paraId="55348D4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公用</w:t>
                  </w:r>
                </w:p>
                <w:p w14:paraId="703E2F62">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GB"/>
                    </w:rPr>
                  </w:pPr>
                  <w:r>
                    <w:rPr>
                      <w:rFonts w:hint="eastAsia" w:ascii="Times New Roman" w:hAnsi="Times New Roman" w:eastAsia="宋体" w:cs="宋体"/>
                      <w:caps w:val="0"/>
                      <w:color w:val="auto"/>
                      <w:sz w:val="21"/>
                      <w:szCs w:val="21"/>
                      <w:highlight w:val="none"/>
                    </w:rPr>
                    <w:t>工程</w:t>
                  </w:r>
                </w:p>
              </w:tc>
              <w:tc>
                <w:tcPr>
                  <w:tcW w:w="833" w:type="pct"/>
                  <w:tcBorders>
                    <w:tl2br w:val="nil"/>
                    <w:tr2bl w:val="nil"/>
                  </w:tcBorders>
                  <w:noWrap w:val="0"/>
                  <w:vAlign w:val="center"/>
                </w:tcPr>
                <w:p w14:paraId="7F464F6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给水工程</w:t>
                  </w:r>
                </w:p>
              </w:tc>
              <w:tc>
                <w:tcPr>
                  <w:tcW w:w="2796" w:type="pct"/>
                  <w:tcBorders>
                    <w:tl2br w:val="nil"/>
                    <w:tr2bl w:val="nil"/>
                  </w:tcBorders>
                  <w:noWrap w:val="0"/>
                  <w:vAlign w:val="center"/>
                </w:tcPr>
                <w:p w14:paraId="28DF77D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lang w:val="en-US" w:eastAsia="zh-CN"/>
                    </w:rPr>
                    <w:t>由</w:t>
                  </w:r>
                  <w:r>
                    <w:rPr>
                      <w:rFonts w:hint="eastAsia" w:cs="宋体"/>
                      <w:caps w:val="0"/>
                      <w:color w:val="auto"/>
                      <w:sz w:val="21"/>
                      <w:szCs w:val="21"/>
                      <w:highlight w:val="none"/>
                      <w:lang w:val="en-US" w:eastAsia="zh-CN"/>
                    </w:rPr>
                    <w:t>自打井</w:t>
                  </w:r>
                  <w:r>
                    <w:rPr>
                      <w:rFonts w:hint="eastAsia" w:ascii="Times New Roman" w:hAnsi="Times New Roman" w:eastAsia="宋体" w:cs="宋体"/>
                      <w:caps w:val="0"/>
                      <w:color w:val="auto"/>
                      <w:sz w:val="21"/>
                      <w:szCs w:val="21"/>
                      <w:highlight w:val="none"/>
                      <w:lang w:val="en-US" w:eastAsia="zh-CN"/>
                    </w:rPr>
                    <w:t>提供</w:t>
                  </w:r>
                  <w:r>
                    <w:rPr>
                      <w:rFonts w:hint="eastAsia" w:ascii="Times New Roman" w:hAnsi="Times New Roman" w:eastAsia="宋体" w:cs="宋体"/>
                      <w:caps w:val="0"/>
                      <w:color w:val="auto"/>
                      <w:sz w:val="21"/>
                      <w:szCs w:val="21"/>
                      <w:highlight w:val="none"/>
                    </w:rPr>
                    <w:t>。</w:t>
                  </w:r>
                </w:p>
              </w:tc>
              <w:tc>
                <w:tcPr>
                  <w:tcW w:w="908" w:type="pct"/>
                  <w:tcBorders>
                    <w:tl2br w:val="nil"/>
                    <w:tr2bl w:val="nil"/>
                  </w:tcBorders>
                  <w:noWrap w:val="0"/>
                  <w:vAlign w:val="center"/>
                </w:tcPr>
                <w:p w14:paraId="3118339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caps w:val="0"/>
                      <w:color w:val="auto"/>
                      <w:sz w:val="21"/>
                      <w:szCs w:val="21"/>
                      <w:highlight w:val="none"/>
                      <w:lang w:val="en-US" w:eastAsia="zh-CN"/>
                    </w:rPr>
                    <w:t>依托</w:t>
                  </w:r>
                  <w:r>
                    <w:rPr>
                      <w:rFonts w:hint="eastAsia" w:cs="宋体"/>
                      <w:caps w:val="0"/>
                      <w:color w:val="auto"/>
                      <w:sz w:val="21"/>
                      <w:szCs w:val="21"/>
                      <w:highlight w:val="none"/>
                      <w:lang w:val="en-US" w:eastAsia="zh-CN"/>
                    </w:rPr>
                    <w:t>现有</w:t>
                  </w:r>
                </w:p>
              </w:tc>
            </w:tr>
          </w:tbl>
          <w:p w14:paraId="21098754">
            <w:pPr>
              <w:jc w:val="center"/>
              <w:rPr>
                <w:rFonts w:hint="eastAsia" w:ascii="Times New Roman" w:hAnsi="Times New Roman" w:eastAsia="宋体" w:cs="宋体"/>
                <w:b/>
                <w:color w:val="auto"/>
                <w:sz w:val="21"/>
                <w:szCs w:val="21"/>
                <w:highlight w:val="none"/>
                <w:lang w:val="en-US" w:eastAsia="zh-CN"/>
              </w:rPr>
            </w:pPr>
          </w:p>
          <w:p w14:paraId="479702A7">
            <w:pPr>
              <w:jc w:val="center"/>
              <w:rPr>
                <w:rFonts w:hint="eastAsia" w:ascii="Times New Roman" w:hAnsi="Times New Roman" w:eastAsia="宋体" w:cs="宋体"/>
                <w:b/>
                <w:color w:val="auto"/>
                <w:sz w:val="21"/>
                <w:szCs w:val="21"/>
                <w:highlight w:val="none"/>
                <w:lang w:val="en-US" w:eastAsia="zh-CN"/>
              </w:rPr>
            </w:pPr>
          </w:p>
          <w:p w14:paraId="099C61DC">
            <w:pPr>
              <w:jc w:val="center"/>
              <w:rPr>
                <w:rFonts w:hint="eastAsia" w:ascii="Times New Roman" w:hAnsi="Times New Roman" w:eastAsia="宋体" w:cs="宋体"/>
                <w:b/>
                <w:color w:val="auto"/>
                <w:sz w:val="21"/>
                <w:szCs w:val="21"/>
                <w:highlight w:val="none"/>
                <w:lang w:val="en-US" w:eastAsia="zh-CN"/>
              </w:rPr>
            </w:pPr>
          </w:p>
          <w:p w14:paraId="699ACEC5">
            <w:pPr>
              <w:jc w:val="center"/>
              <w:rPr>
                <w:color w:val="auto"/>
              </w:rPr>
            </w:pPr>
            <w:r>
              <w:rPr>
                <w:rFonts w:hint="eastAsia" w:ascii="Times New Roman" w:hAnsi="Times New Roman" w:eastAsia="宋体" w:cs="宋体"/>
                <w:b/>
                <w:color w:val="auto"/>
                <w:sz w:val="21"/>
                <w:szCs w:val="21"/>
                <w:highlight w:val="none"/>
                <w:lang w:val="en-US" w:eastAsia="zh-CN"/>
              </w:rPr>
              <w:t>续</w:t>
            </w:r>
            <w:r>
              <w:rPr>
                <w:rFonts w:hint="eastAsia" w:ascii="Times New Roman" w:hAnsi="Times New Roman" w:eastAsia="宋体" w:cs="宋体"/>
                <w:b/>
                <w:color w:val="auto"/>
                <w:sz w:val="21"/>
                <w:szCs w:val="21"/>
                <w:highlight w:val="none"/>
              </w:rPr>
              <w:t>表2-1 项目建设内容一览表</w:t>
            </w:r>
          </w:p>
          <w:tbl>
            <w:tblPr>
              <w:tblStyle w:val="4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320"/>
              <w:gridCol w:w="4432"/>
              <w:gridCol w:w="1439"/>
            </w:tblGrid>
            <w:tr w14:paraId="1B04CC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61" w:type="pct"/>
                  <w:vMerge w:val="restart"/>
                  <w:tcBorders>
                    <w:tl2br w:val="nil"/>
                    <w:tr2bl w:val="nil"/>
                  </w:tcBorders>
                  <w:noWrap w:val="0"/>
                  <w:vAlign w:val="center"/>
                </w:tcPr>
                <w:p w14:paraId="56F0875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宋体"/>
                      <w:caps w:val="0"/>
                      <w:color w:val="auto"/>
                      <w:sz w:val="21"/>
                      <w:szCs w:val="21"/>
                      <w:highlight w:val="none"/>
                      <w:lang w:val="en-US" w:eastAsia="zh-CN"/>
                    </w:rPr>
                  </w:pPr>
                  <w:r>
                    <w:rPr>
                      <w:rFonts w:hint="eastAsia" w:cs="宋体"/>
                      <w:caps w:val="0"/>
                      <w:color w:val="auto"/>
                      <w:sz w:val="21"/>
                      <w:szCs w:val="21"/>
                      <w:highlight w:val="none"/>
                      <w:lang w:val="en-US" w:eastAsia="zh-CN"/>
                    </w:rPr>
                    <w:t>公用工程</w:t>
                  </w:r>
                </w:p>
              </w:tc>
              <w:tc>
                <w:tcPr>
                  <w:tcW w:w="833" w:type="pct"/>
                  <w:tcBorders>
                    <w:tl2br w:val="nil"/>
                    <w:tr2bl w:val="nil"/>
                  </w:tcBorders>
                  <w:noWrap w:val="0"/>
                  <w:vAlign w:val="center"/>
                </w:tcPr>
                <w:p w14:paraId="5ED788D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排水工程</w:t>
                  </w:r>
                </w:p>
              </w:tc>
              <w:tc>
                <w:tcPr>
                  <w:tcW w:w="2796" w:type="pct"/>
                  <w:tcBorders>
                    <w:tl2br w:val="nil"/>
                    <w:tr2bl w:val="nil"/>
                  </w:tcBorders>
                  <w:noWrap w:val="0"/>
                  <w:vAlign w:val="center"/>
                </w:tcPr>
                <w:p w14:paraId="54DE770C">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smallCaps w:val="0"/>
                      <w:snapToGrid w:val="0"/>
                      <w:color w:val="auto"/>
                      <w:kern w:val="0"/>
                      <w:sz w:val="21"/>
                      <w:szCs w:val="21"/>
                      <w:highlight w:val="none"/>
                      <w:lang w:val="en-US" w:eastAsia="zh-CN"/>
                    </w:rPr>
                    <w:t>生活污水排入防渗</w:t>
                  </w:r>
                  <w:r>
                    <w:rPr>
                      <w:rFonts w:hint="eastAsia" w:cs="宋体"/>
                      <w:smallCaps w:val="0"/>
                      <w:snapToGrid w:val="0"/>
                      <w:color w:val="auto"/>
                      <w:kern w:val="0"/>
                      <w:sz w:val="21"/>
                      <w:szCs w:val="21"/>
                      <w:highlight w:val="none"/>
                      <w:lang w:val="en-US" w:eastAsia="zh-CN"/>
                    </w:rPr>
                    <w:t>旱厕，定期拉运，外运堆肥</w:t>
                  </w:r>
                  <w:r>
                    <w:rPr>
                      <w:rFonts w:hint="eastAsia" w:ascii="Times New Roman" w:hAnsi="Times New Roman" w:eastAsia="宋体" w:cs="宋体"/>
                      <w:smallCaps w:val="0"/>
                      <w:snapToGrid w:val="0"/>
                      <w:color w:val="auto"/>
                      <w:kern w:val="0"/>
                      <w:sz w:val="21"/>
                      <w:szCs w:val="21"/>
                      <w:highlight w:val="none"/>
                      <w:lang w:val="en-US" w:eastAsia="zh-CN"/>
                    </w:rPr>
                    <w:t>；锅炉排污水和软化水制备废水</w:t>
                  </w:r>
                  <w:r>
                    <w:rPr>
                      <w:rFonts w:hint="eastAsia" w:cs="宋体"/>
                      <w:smallCaps w:val="0"/>
                      <w:snapToGrid w:val="0"/>
                      <w:color w:val="auto"/>
                      <w:kern w:val="0"/>
                      <w:sz w:val="21"/>
                      <w:szCs w:val="21"/>
                      <w:highlight w:val="none"/>
                      <w:lang w:val="en-US" w:eastAsia="zh-CN"/>
                    </w:rPr>
                    <w:t>部分用于洒水降尘，其余定期拉运至铁力市城镇</w:t>
                  </w:r>
                  <w:r>
                    <w:rPr>
                      <w:rFonts w:hint="eastAsia" w:ascii="Times New Roman" w:hAnsi="Times New Roman" w:eastAsia="宋体" w:cs="宋体"/>
                      <w:smallCaps w:val="0"/>
                      <w:snapToGrid w:val="0"/>
                      <w:color w:val="auto"/>
                      <w:kern w:val="0"/>
                      <w:sz w:val="21"/>
                      <w:szCs w:val="21"/>
                      <w:highlight w:val="none"/>
                      <w:lang w:val="en-US" w:eastAsia="zh-CN"/>
                    </w:rPr>
                    <w:t>处理厂处理达标后排放。</w:t>
                  </w:r>
                </w:p>
              </w:tc>
              <w:tc>
                <w:tcPr>
                  <w:tcW w:w="908" w:type="pct"/>
                  <w:tcBorders>
                    <w:tl2br w:val="nil"/>
                    <w:tr2bl w:val="nil"/>
                  </w:tcBorders>
                  <w:noWrap w:val="0"/>
                  <w:vAlign w:val="center"/>
                </w:tcPr>
                <w:p w14:paraId="02CAFE5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caps w:val="0"/>
                      <w:color w:val="auto"/>
                      <w:sz w:val="21"/>
                      <w:szCs w:val="21"/>
                      <w:highlight w:val="none"/>
                      <w:lang w:val="en-US" w:eastAsia="zh-CN"/>
                    </w:rPr>
                    <w:t>依托</w:t>
                  </w:r>
                </w:p>
              </w:tc>
            </w:tr>
            <w:tr w14:paraId="0C7656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1" w:type="pct"/>
                  <w:vMerge w:val="continue"/>
                  <w:tcBorders>
                    <w:tl2br w:val="nil"/>
                    <w:tr2bl w:val="nil"/>
                  </w:tcBorders>
                  <w:noWrap w:val="0"/>
                  <w:vAlign w:val="center"/>
                </w:tcPr>
                <w:p w14:paraId="25EDAE78">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GB"/>
                    </w:rPr>
                  </w:pPr>
                </w:p>
              </w:tc>
              <w:tc>
                <w:tcPr>
                  <w:tcW w:w="833" w:type="pct"/>
                  <w:tcBorders>
                    <w:tl2br w:val="nil"/>
                    <w:tr2bl w:val="nil"/>
                  </w:tcBorders>
                  <w:noWrap w:val="0"/>
                  <w:vAlign w:val="center"/>
                </w:tcPr>
                <w:p w14:paraId="4A81263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供电系统</w:t>
                  </w:r>
                </w:p>
              </w:tc>
              <w:tc>
                <w:tcPr>
                  <w:tcW w:w="2796" w:type="pct"/>
                  <w:tcBorders>
                    <w:tl2br w:val="nil"/>
                    <w:tr2bl w:val="nil"/>
                  </w:tcBorders>
                  <w:noWrap w:val="0"/>
                  <w:vAlign w:val="center"/>
                </w:tcPr>
                <w:p w14:paraId="40DE950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由</w:t>
                  </w:r>
                  <w:r>
                    <w:rPr>
                      <w:rFonts w:hint="eastAsia" w:ascii="Times New Roman" w:hAnsi="Times New Roman" w:eastAsia="宋体" w:cs="宋体"/>
                      <w:caps w:val="0"/>
                      <w:color w:val="auto"/>
                      <w:sz w:val="21"/>
                      <w:szCs w:val="21"/>
                      <w:highlight w:val="none"/>
                      <w:lang w:val="en-US" w:eastAsia="zh-CN"/>
                    </w:rPr>
                    <w:t>市政电网</w:t>
                  </w:r>
                  <w:r>
                    <w:rPr>
                      <w:rFonts w:hint="eastAsia" w:ascii="Times New Roman" w:hAnsi="Times New Roman" w:eastAsia="宋体" w:cs="宋体"/>
                      <w:caps w:val="0"/>
                      <w:color w:val="auto"/>
                      <w:sz w:val="21"/>
                      <w:szCs w:val="21"/>
                      <w:highlight w:val="none"/>
                    </w:rPr>
                    <w:t>供电</w:t>
                  </w:r>
                </w:p>
              </w:tc>
              <w:tc>
                <w:tcPr>
                  <w:tcW w:w="908" w:type="pct"/>
                  <w:tcBorders>
                    <w:tl2br w:val="nil"/>
                    <w:tr2bl w:val="nil"/>
                  </w:tcBorders>
                  <w:noWrap w:val="0"/>
                  <w:vAlign w:val="center"/>
                </w:tcPr>
                <w:p w14:paraId="7121C4D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caps w:val="0"/>
                      <w:color w:val="auto"/>
                      <w:sz w:val="21"/>
                      <w:szCs w:val="21"/>
                      <w:highlight w:val="none"/>
                      <w:lang w:val="en-US" w:eastAsia="zh-CN"/>
                    </w:rPr>
                    <w:t>依托</w:t>
                  </w:r>
                </w:p>
              </w:tc>
            </w:tr>
            <w:tr w14:paraId="3A3CF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1" w:type="pct"/>
                  <w:vMerge w:val="continue"/>
                  <w:tcBorders>
                    <w:tl2br w:val="nil"/>
                    <w:tr2bl w:val="nil"/>
                  </w:tcBorders>
                  <w:noWrap w:val="0"/>
                  <w:vAlign w:val="center"/>
                </w:tcPr>
                <w:p w14:paraId="118E0A47">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GB"/>
                    </w:rPr>
                  </w:pPr>
                </w:p>
              </w:tc>
              <w:tc>
                <w:tcPr>
                  <w:tcW w:w="833" w:type="pct"/>
                  <w:tcBorders>
                    <w:tl2br w:val="nil"/>
                    <w:tr2bl w:val="nil"/>
                  </w:tcBorders>
                  <w:noWrap w:val="0"/>
                  <w:vAlign w:val="center"/>
                </w:tcPr>
                <w:p w14:paraId="402D7CFA">
                  <w:pPr>
                    <w:jc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rPr>
                    <w:t>供热</w:t>
                  </w:r>
                </w:p>
              </w:tc>
              <w:tc>
                <w:tcPr>
                  <w:tcW w:w="2796" w:type="pct"/>
                  <w:tcBorders>
                    <w:tl2br w:val="nil"/>
                    <w:tr2bl w:val="nil"/>
                  </w:tcBorders>
                  <w:noWrap w:val="0"/>
                  <w:vAlign w:val="center"/>
                </w:tcPr>
                <w:p w14:paraId="7066EDB7">
                  <w:pPr>
                    <w:jc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olor w:val="auto"/>
                      <w:kern w:val="2"/>
                      <w:sz w:val="21"/>
                      <w:szCs w:val="21"/>
                      <w:highlight w:val="none"/>
                      <w:lang w:val="en-US" w:eastAsia="zh-CN" w:bidi="ar-SA"/>
                    </w:rPr>
                    <w:t>由本项目1台</w:t>
                  </w:r>
                  <w:r>
                    <w:rPr>
                      <w:rFonts w:hint="eastAsia" w:ascii="Times New Roman" w:hAnsi="Times New Roman" w:eastAsia="宋体" w:cs="宋体"/>
                      <w:color w:val="auto"/>
                      <w:kern w:val="0"/>
                      <w:sz w:val="21"/>
                      <w:szCs w:val="21"/>
                      <w:highlight w:val="none"/>
                      <w:lang w:val="en-US" w:eastAsia="zh-CN" w:bidi="ar"/>
                    </w:rPr>
                    <w:t>2.8MW燃生物质锅炉供热</w:t>
                  </w:r>
                </w:p>
              </w:tc>
              <w:tc>
                <w:tcPr>
                  <w:tcW w:w="908" w:type="pct"/>
                  <w:tcBorders>
                    <w:tl2br w:val="nil"/>
                    <w:tr2bl w:val="nil"/>
                  </w:tcBorders>
                  <w:noWrap w:val="0"/>
                  <w:vAlign w:val="center"/>
                </w:tcPr>
                <w:p w14:paraId="61608C20">
                  <w:pPr>
                    <w:spacing w:line="0" w:lineRule="atLeast"/>
                    <w:jc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aps w:val="0"/>
                      <w:color w:val="auto"/>
                      <w:kern w:val="2"/>
                      <w:sz w:val="21"/>
                      <w:szCs w:val="21"/>
                      <w:highlight w:val="none"/>
                      <w:lang w:val="en-US" w:eastAsia="zh-CN" w:bidi="ar-SA"/>
                    </w:rPr>
                    <w:t>改建</w:t>
                  </w:r>
                </w:p>
              </w:tc>
            </w:tr>
            <w:tr w14:paraId="710E0C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461" w:type="pct"/>
                  <w:vMerge w:val="restart"/>
                  <w:tcBorders>
                    <w:tl2br w:val="nil"/>
                    <w:tr2bl w:val="nil"/>
                  </w:tcBorders>
                  <w:noWrap w:val="0"/>
                  <w:vAlign w:val="center"/>
                </w:tcPr>
                <w:p w14:paraId="3DBC7D0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环保</w:t>
                  </w:r>
                </w:p>
                <w:p w14:paraId="3C17AA4B">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GB"/>
                    </w:rPr>
                  </w:pPr>
                  <w:r>
                    <w:rPr>
                      <w:rFonts w:hint="eastAsia" w:ascii="Times New Roman" w:hAnsi="Times New Roman" w:eastAsia="宋体" w:cs="宋体"/>
                      <w:caps w:val="0"/>
                      <w:color w:val="auto"/>
                      <w:sz w:val="21"/>
                      <w:szCs w:val="21"/>
                      <w:highlight w:val="none"/>
                    </w:rPr>
                    <w:t>工程</w:t>
                  </w:r>
                </w:p>
              </w:tc>
              <w:tc>
                <w:tcPr>
                  <w:tcW w:w="833" w:type="pct"/>
                  <w:vMerge w:val="restart"/>
                  <w:tcBorders>
                    <w:tl2br w:val="nil"/>
                    <w:tr2bl w:val="nil"/>
                  </w:tcBorders>
                  <w:noWrap w:val="0"/>
                  <w:vAlign w:val="center"/>
                </w:tcPr>
                <w:p w14:paraId="226657F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大气污染防治措施</w:t>
                  </w:r>
                </w:p>
              </w:tc>
              <w:tc>
                <w:tcPr>
                  <w:tcW w:w="2796" w:type="pct"/>
                  <w:tcBorders>
                    <w:tl2br w:val="nil"/>
                    <w:tr2bl w:val="nil"/>
                  </w:tcBorders>
                  <w:noWrap w:val="0"/>
                  <w:vAlign w:val="center"/>
                </w:tcPr>
                <w:p w14:paraId="34EFC69E">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olor w:val="auto"/>
                      <w:sz w:val="21"/>
                      <w:szCs w:val="21"/>
                      <w:highlight w:val="none"/>
                      <w:lang w:val="en-US" w:eastAsia="zh-CN"/>
                    </w:rPr>
                    <w:t>本项目1台</w:t>
                  </w:r>
                  <w:r>
                    <w:rPr>
                      <w:rFonts w:hint="eastAsia" w:ascii="Times New Roman" w:hAnsi="Times New Roman" w:eastAsia="宋体" w:cs="宋体"/>
                      <w:color w:val="auto"/>
                      <w:kern w:val="0"/>
                      <w:sz w:val="21"/>
                      <w:szCs w:val="21"/>
                      <w:highlight w:val="none"/>
                      <w:lang w:val="en-US" w:eastAsia="zh-CN" w:bidi="ar"/>
                    </w:rPr>
                    <w:t>2.8MW</w:t>
                  </w:r>
                  <w:r>
                    <w:rPr>
                      <w:rFonts w:hint="eastAsia" w:ascii="Times New Roman" w:hAnsi="Times New Roman" w:eastAsia="宋体" w:cs="宋体"/>
                      <w:color w:val="auto"/>
                      <w:sz w:val="21"/>
                      <w:szCs w:val="21"/>
                      <w:highlight w:val="none"/>
                    </w:rPr>
                    <w:t>生物质</w:t>
                  </w:r>
                  <w:r>
                    <w:rPr>
                      <w:rFonts w:hint="eastAsia" w:ascii="Times New Roman" w:hAnsi="Times New Roman" w:eastAsia="宋体" w:cs="宋体"/>
                      <w:color w:val="auto"/>
                      <w:sz w:val="21"/>
                      <w:szCs w:val="21"/>
                      <w:highlight w:val="none"/>
                      <w:lang w:val="en-US" w:eastAsia="zh-CN"/>
                    </w:rPr>
                    <w:t>锅炉采取旋风除尘器+布袋除尘器</w:t>
                  </w:r>
                  <w:r>
                    <w:rPr>
                      <w:rFonts w:hint="eastAsia" w:ascii="Times New Roman" w:hAnsi="Times New Roman" w:eastAsia="宋体" w:cs="宋体"/>
                      <w:color w:val="auto"/>
                      <w:sz w:val="21"/>
                      <w:szCs w:val="21"/>
                      <w:highlight w:val="none"/>
                    </w:rPr>
                    <w:t>（</w:t>
                  </w:r>
                  <w:r>
                    <w:rPr>
                      <w:rFonts w:hint="eastAsia" w:ascii="Times New Roman" w:hAnsi="Times New Roman" w:eastAsia="宋体" w:cs="宋体"/>
                      <w:color w:val="auto"/>
                      <w:sz w:val="21"/>
                      <w:szCs w:val="21"/>
                      <w:highlight w:val="none"/>
                      <w:lang w:val="en-US" w:eastAsia="zh-CN"/>
                    </w:rPr>
                    <w:t>去除</w:t>
                  </w:r>
                  <w:r>
                    <w:rPr>
                      <w:rFonts w:hint="eastAsia" w:ascii="Times New Roman" w:hAnsi="Times New Roman" w:eastAsia="宋体" w:cs="宋体"/>
                      <w:color w:val="auto"/>
                      <w:sz w:val="21"/>
                      <w:szCs w:val="21"/>
                      <w:highlight w:val="none"/>
                    </w:rPr>
                    <w:t>效率为</w:t>
                  </w:r>
                  <w:r>
                    <w:rPr>
                      <w:rFonts w:hint="eastAsia" w:ascii="Times New Roman" w:hAnsi="Times New Roman" w:eastAsia="宋体" w:cs="宋体"/>
                      <w:color w:val="auto"/>
                      <w:sz w:val="21"/>
                      <w:szCs w:val="21"/>
                      <w:highlight w:val="none"/>
                      <w:lang w:eastAsia="zh-CN"/>
                    </w:rPr>
                    <w:t>99</w:t>
                  </w:r>
                  <w:r>
                    <w:rPr>
                      <w:rFonts w:hint="eastAsia" w:ascii="Times New Roman" w:hAnsi="Times New Roman" w:eastAsia="宋体" w:cs="宋体"/>
                      <w:color w:val="auto"/>
                      <w:sz w:val="21"/>
                      <w:szCs w:val="21"/>
                      <w:highlight w:val="none"/>
                      <w:lang w:val="en-US" w:eastAsia="zh-CN"/>
                    </w:rPr>
                    <w:t>.</w:t>
                  </w:r>
                  <w:r>
                    <w:rPr>
                      <w:rFonts w:hint="eastAsia" w:cs="宋体"/>
                      <w:color w:val="auto"/>
                      <w:sz w:val="21"/>
                      <w:szCs w:val="21"/>
                      <w:highlight w:val="none"/>
                      <w:lang w:val="en-US" w:eastAsia="zh-CN"/>
                    </w:rPr>
                    <w:t>7</w:t>
                  </w:r>
                  <w:r>
                    <w:rPr>
                      <w:rFonts w:hint="eastAsia" w:ascii="Times New Roman" w:hAnsi="Times New Roman" w:eastAsia="宋体" w:cs="宋体"/>
                      <w:color w:val="auto"/>
                      <w:sz w:val="21"/>
                      <w:szCs w:val="21"/>
                      <w:highlight w:val="none"/>
                      <w:lang w:eastAsia="zh-CN"/>
                    </w:rPr>
                    <w:t>%</w:t>
                  </w:r>
                  <w:r>
                    <w:rPr>
                      <w:rFonts w:hint="eastAsia" w:ascii="Times New Roman" w:hAnsi="Times New Roman" w:eastAsia="宋体" w:cs="宋体"/>
                      <w:color w:val="auto"/>
                      <w:sz w:val="21"/>
                      <w:szCs w:val="21"/>
                      <w:highlight w:val="none"/>
                    </w:rPr>
                    <w:t>）</w:t>
                  </w:r>
                  <w:r>
                    <w:rPr>
                      <w:rFonts w:hint="eastAsia" w:ascii="Times New Roman" w:hAnsi="Times New Roman" w:eastAsia="宋体" w:cs="宋体"/>
                      <w:color w:val="auto"/>
                      <w:sz w:val="21"/>
                      <w:szCs w:val="21"/>
                      <w:highlight w:val="none"/>
                      <w:lang w:val="en-US" w:eastAsia="zh-CN"/>
                    </w:rPr>
                    <w:t>治理措施</w:t>
                  </w:r>
                  <w:r>
                    <w:rPr>
                      <w:rFonts w:hint="eastAsia" w:ascii="Times New Roman" w:hAnsi="Times New Roman" w:eastAsia="宋体" w:cs="宋体"/>
                      <w:color w:val="auto"/>
                      <w:sz w:val="21"/>
                      <w:szCs w:val="21"/>
                      <w:highlight w:val="none"/>
                    </w:rPr>
                    <w:t>，</w:t>
                  </w:r>
                  <w:r>
                    <w:rPr>
                      <w:rFonts w:hint="eastAsia" w:ascii="Times New Roman" w:hAnsi="Times New Roman" w:eastAsia="宋体" w:cs="宋体"/>
                      <w:color w:val="auto"/>
                      <w:sz w:val="21"/>
                      <w:szCs w:val="21"/>
                      <w:highlight w:val="none"/>
                      <w:lang w:val="en-US" w:eastAsia="zh-CN"/>
                    </w:rPr>
                    <w:t>经处理后的废气</w:t>
                  </w:r>
                  <w:r>
                    <w:rPr>
                      <w:rFonts w:hint="eastAsia" w:ascii="Times New Roman" w:hAnsi="Times New Roman" w:eastAsia="宋体" w:cs="宋体"/>
                      <w:color w:val="auto"/>
                      <w:sz w:val="21"/>
                      <w:szCs w:val="21"/>
                      <w:highlight w:val="none"/>
                    </w:rPr>
                    <w:t>由1根</w:t>
                  </w:r>
                  <w:r>
                    <w:rPr>
                      <w:rFonts w:hint="eastAsia" w:cs="宋体"/>
                      <w:color w:val="auto"/>
                      <w:sz w:val="21"/>
                      <w:szCs w:val="21"/>
                      <w:highlight w:val="none"/>
                      <w:lang w:val="en-US" w:eastAsia="zh-CN"/>
                    </w:rPr>
                    <w:t>35m</w:t>
                  </w:r>
                  <w:r>
                    <w:rPr>
                      <w:rFonts w:hint="eastAsia" w:ascii="Times New Roman" w:hAnsi="Times New Roman" w:eastAsia="宋体" w:cs="宋体"/>
                      <w:color w:val="auto"/>
                      <w:sz w:val="21"/>
                      <w:szCs w:val="21"/>
                      <w:highlight w:val="none"/>
                    </w:rPr>
                    <w:t>高烟囱排放</w:t>
                  </w:r>
                  <w:r>
                    <w:rPr>
                      <w:rFonts w:hint="eastAsia" w:ascii="Times New Roman" w:hAnsi="Times New Roman" w:eastAsia="宋体" w:cs="宋体"/>
                      <w:caps w:val="0"/>
                      <w:color w:val="auto"/>
                      <w:sz w:val="21"/>
                      <w:szCs w:val="21"/>
                      <w:highlight w:val="none"/>
                    </w:rPr>
                    <w:t>。</w:t>
                  </w:r>
                </w:p>
              </w:tc>
              <w:tc>
                <w:tcPr>
                  <w:tcW w:w="908" w:type="pct"/>
                  <w:tcBorders>
                    <w:tl2br w:val="nil"/>
                    <w:tr2bl w:val="nil"/>
                  </w:tcBorders>
                  <w:noWrap w:val="0"/>
                  <w:vAlign w:val="center"/>
                </w:tcPr>
                <w:p w14:paraId="735B6A04">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lang w:val="en-US"/>
                    </w:rPr>
                  </w:pPr>
                  <w:r>
                    <w:rPr>
                      <w:rFonts w:hint="eastAsia" w:ascii="Times New Roman" w:hAnsi="Times New Roman" w:eastAsia="宋体" w:cs="宋体"/>
                      <w:color w:val="auto"/>
                      <w:sz w:val="21"/>
                      <w:szCs w:val="21"/>
                      <w:highlight w:val="none"/>
                      <w:lang w:val="en-US" w:eastAsia="zh-CN"/>
                    </w:rPr>
                    <w:t>依托现有</w:t>
                  </w:r>
                </w:p>
              </w:tc>
            </w:tr>
            <w:tr w14:paraId="35C2FA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461" w:type="pct"/>
                  <w:vMerge w:val="continue"/>
                  <w:tcBorders>
                    <w:tl2br w:val="nil"/>
                    <w:tr2bl w:val="nil"/>
                  </w:tcBorders>
                  <w:noWrap w:val="0"/>
                  <w:vAlign w:val="center"/>
                </w:tcPr>
                <w:p w14:paraId="25FB2834">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rPr>
                  </w:pPr>
                </w:p>
              </w:tc>
              <w:tc>
                <w:tcPr>
                  <w:tcW w:w="833" w:type="pct"/>
                  <w:vMerge w:val="continue"/>
                  <w:tcBorders>
                    <w:tl2br w:val="nil"/>
                    <w:tr2bl w:val="nil"/>
                  </w:tcBorders>
                  <w:noWrap w:val="0"/>
                  <w:vAlign w:val="center"/>
                </w:tcPr>
                <w:p w14:paraId="4721AFA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p>
              </w:tc>
              <w:tc>
                <w:tcPr>
                  <w:tcW w:w="2796" w:type="pct"/>
                  <w:tcBorders>
                    <w:tl2br w:val="nil"/>
                    <w:tr2bl w:val="nil"/>
                  </w:tcBorders>
                  <w:noWrap w:val="0"/>
                  <w:vAlign w:val="center"/>
                </w:tcPr>
                <w:p w14:paraId="7CBF9455">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rPr>
                    <w:t>对灰渣</w:t>
                  </w:r>
                  <w:r>
                    <w:rPr>
                      <w:rFonts w:hint="eastAsia" w:ascii="Times New Roman" w:hAnsi="Times New Roman" w:eastAsia="宋体" w:cs="宋体"/>
                      <w:color w:val="auto"/>
                      <w:sz w:val="21"/>
                      <w:szCs w:val="21"/>
                      <w:highlight w:val="none"/>
                      <w:lang w:eastAsia="zh-CN"/>
                    </w:rPr>
                    <w:t>、</w:t>
                  </w:r>
                  <w:r>
                    <w:rPr>
                      <w:rFonts w:hint="eastAsia" w:ascii="Times New Roman" w:hAnsi="Times New Roman" w:eastAsia="宋体" w:cs="宋体"/>
                      <w:color w:val="auto"/>
                      <w:sz w:val="21"/>
                      <w:szCs w:val="21"/>
                      <w:highlight w:val="none"/>
                      <w:lang w:val="en-US" w:eastAsia="zh-CN"/>
                    </w:rPr>
                    <w:t>燃料储存</w:t>
                  </w:r>
                  <w:r>
                    <w:rPr>
                      <w:rFonts w:hint="eastAsia" w:ascii="Times New Roman" w:hAnsi="Times New Roman" w:eastAsia="宋体" w:cs="宋体"/>
                      <w:color w:val="auto"/>
                      <w:sz w:val="21"/>
                      <w:szCs w:val="21"/>
                      <w:highlight w:val="none"/>
                    </w:rPr>
                    <w:t>采取洒水抑尘措施，转运过程遮盖苫布，粉尘以无组织形式在厂区排放</w:t>
                  </w:r>
                </w:p>
              </w:tc>
              <w:tc>
                <w:tcPr>
                  <w:tcW w:w="908" w:type="pct"/>
                  <w:tcBorders>
                    <w:tl2br w:val="nil"/>
                    <w:tr2bl w:val="nil"/>
                  </w:tcBorders>
                  <w:noWrap w:val="0"/>
                  <w:vAlign w:val="center"/>
                </w:tcPr>
                <w:p w14:paraId="745E60E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lang w:val="en-US" w:eastAsia="zh-CN"/>
                    </w:rPr>
                    <w:t>依托现有</w:t>
                  </w:r>
                </w:p>
              </w:tc>
            </w:tr>
            <w:tr w14:paraId="6D391A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61" w:type="pct"/>
                  <w:vMerge w:val="continue"/>
                  <w:tcBorders>
                    <w:tl2br w:val="nil"/>
                    <w:tr2bl w:val="nil"/>
                  </w:tcBorders>
                  <w:noWrap w:val="0"/>
                  <w:vAlign w:val="center"/>
                </w:tcPr>
                <w:p w14:paraId="2AB3693B">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GB"/>
                    </w:rPr>
                  </w:pPr>
                </w:p>
              </w:tc>
              <w:tc>
                <w:tcPr>
                  <w:tcW w:w="833" w:type="pct"/>
                  <w:tcBorders>
                    <w:tl2br w:val="nil"/>
                    <w:tr2bl w:val="nil"/>
                  </w:tcBorders>
                  <w:noWrap w:val="0"/>
                  <w:vAlign w:val="center"/>
                </w:tcPr>
                <w:p w14:paraId="290D5EB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废水污染防治措施</w:t>
                  </w:r>
                </w:p>
              </w:tc>
              <w:tc>
                <w:tcPr>
                  <w:tcW w:w="2796" w:type="pct"/>
                  <w:tcBorders>
                    <w:tl2br w:val="nil"/>
                    <w:tr2bl w:val="nil"/>
                  </w:tcBorders>
                  <w:noWrap w:val="0"/>
                  <w:vAlign w:val="center"/>
                </w:tcPr>
                <w:p w14:paraId="04888642">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smallCaps w:val="0"/>
                      <w:snapToGrid w:val="0"/>
                      <w:color w:val="auto"/>
                      <w:kern w:val="0"/>
                      <w:sz w:val="21"/>
                      <w:szCs w:val="21"/>
                      <w:highlight w:val="none"/>
                      <w:lang w:val="en-US" w:eastAsia="zh-CN"/>
                    </w:rPr>
                    <w:t>生活污水排入防渗</w:t>
                  </w:r>
                  <w:r>
                    <w:rPr>
                      <w:rFonts w:hint="eastAsia" w:cs="宋体"/>
                      <w:smallCaps w:val="0"/>
                      <w:snapToGrid w:val="0"/>
                      <w:color w:val="auto"/>
                      <w:kern w:val="0"/>
                      <w:sz w:val="21"/>
                      <w:szCs w:val="21"/>
                      <w:highlight w:val="none"/>
                      <w:lang w:val="en-US" w:eastAsia="zh-CN"/>
                    </w:rPr>
                    <w:t>旱厕，定期拉运，外运堆肥</w:t>
                  </w:r>
                  <w:r>
                    <w:rPr>
                      <w:rFonts w:hint="eastAsia" w:ascii="Times New Roman" w:hAnsi="Times New Roman" w:eastAsia="宋体" w:cs="宋体"/>
                      <w:smallCaps w:val="0"/>
                      <w:snapToGrid w:val="0"/>
                      <w:color w:val="auto"/>
                      <w:kern w:val="0"/>
                      <w:sz w:val="21"/>
                      <w:szCs w:val="21"/>
                      <w:highlight w:val="none"/>
                      <w:lang w:val="en-US" w:eastAsia="zh-CN"/>
                    </w:rPr>
                    <w:t>；锅炉排污水和软化水制备废水</w:t>
                  </w:r>
                  <w:r>
                    <w:rPr>
                      <w:rFonts w:hint="eastAsia" w:cs="宋体"/>
                      <w:smallCaps w:val="0"/>
                      <w:snapToGrid w:val="0"/>
                      <w:color w:val="auto"/>
                      <w:kern w:val="0"/>
                      <w:sz w:val="21"/>
                      <w:szCs w:val="21"/>
                      <w:highlight w:val="none"/>
                      <w:lang w:val="en-US" w:eastAsia="zh-CN"/>
                    </w:rPr>
                    <w:t>部分用于洒水降尘，其余定期拉运至铁力市城镇</w:t>
                  </w:r>
                  <w:r>
                    <w:rPr>
                      <w:rFonts w:hint="eastAsia" w:ascii="Times New Roman" w:hAnsi="Times New Roman" w:eastAsia="宋体" w:cs="宋体"/>
                      <w:smallCaps w:val="0"/>
                      <w:snapToGrid w:val="0"/>
                      <w:color w:val="auto"/>
                      <w:kern w:val="0"/>
                      <w:sz w:val="21"/>
                      <w:szCs w:val="21"/>
                      <w:highlight w:val="none"/>
                      <w:lang w:val="en-US" w:eastAsia="zh-CN"/>
                    </w:rPr>
                    <w:t>处理厂处理达标后排放。</w:t>
                  </w:r>
                </w:p>
              </w:tc>
              <w:tc>
                <w:tcPr>
                  <w:tcW w:w="908" w:type="pct"/>
                  <w:tcBorders>
                    <w:tl2br w:val="nil"/>
                    <w:tr2bl w:val="nil"/>
                  </w:tcBorders>
                  <w:noWrap w:val="0"/>
                  <w:vAlign w:val="center"/>
                </w:tcPr>
                <w:p w14:paraId="5E00476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olor w:val="auto"/>
                      <w:sz w:val="21"/>
                      <w:szCs w:val="21"/>
                      <w:highlight w:val="none"/>
                      <w:lang w:val="en-US" w:eastAsia="zh-CN"/>
                    </w:rPr>
                    <w:t>依托现有</w:t>
                  </w:r>
                </w:p>
              </w:tc>
            </w:tr>
            <w:tr w14:paraId="315AA7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461" w:type="pct"/>
                  <w:vMerge w:val="continue"/>
                  <w:tcBorders>
                    <w:tl2br w:val="nil"/>
                    <w:tr2bl w:val="nil"/>
                  </w:tcBorders>
                  <w:noWrap w:val="0"/>
                  <w:vAlign w:val="center"/>
                </w:tcPr>
                <w:p w14:paraId="61D5BCA2">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GB"/>
                    </w:rPr>
                  </w:pPr>
                </w:p>
              </w:tc>
              <w:tc>
                <w:tcPr>
                  <w:tcW w:w="833" w:type="pct"/>
                  <w:tcBorders>
                    <w:tl2br w:val="nil"/>
                    <w:tr2bl w:val="nil"/>
                  </w:tcBorders>
                  <w:noWrap w:val="0"/>
                  <w:vAlign w:val="center"/>
                </w:tcPr>
                <w:p w14:paraId="2F81C45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噪声污染防治措施</w:t>
                  </w:r>
                </w:p>
              </w:tc>
              <w:tc>
                <w:tcPr>
                  <w:tcW w:w="2796" w:type="pct"/>
                  <w:tcBorders>
                    <w:tl2br w:val="nil"/>
                    <w:tr2bl w:val="nil"/>
                  </w:tcBorders>
                  <w:noWrap w:val="0"/>
                  <w:vAlign w:val="center"/>
                </w:tcPr>
                <w:p w14:paraId="2E1DB606">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lang w:val="en-US" w:eastAsia="zh-CN"/>
                    </w:rPr>
                    <w:t>采用低噪声设备，</w:t>
                  </w:r>
                  <w:r>
                    <w:rPr>
                      <w:rFonts w:hint="eastAsia" w:ascii="Times New Roman" w:hAnsi="Times New Roman" w:eastAsia="宋体" w:cs="宋体"/>
                      <w:caps w:val="0"/>
                      <w:color w:val="auto"/>
                      <w:sz w:val="21"/>
                      <w:szCs w:val="21"/>
                      <w:highlight w:val="none"/>
                    </w:rPr>
                    <w:t>采取</w:t>
                  </w:r>
                  <w:r>
                    <w:rPr>
                      <w:rFonts w:hint="eastAsia" w:cs="宋体"/>
                      <w:caps w:val="0"/>
                      <w:color w:val="auto"/>
                      <w:sz w:val="21"/>
                      <w:szCs w:val="21"/>
                      <w:highlight w:val="none"/>
                      <w:lang w:val="en-US" w:eastAsia="zh-CN"/>
                    </w:rPr>
                    <w:t>基础</w:t>
                  </w:r>
                  <w:r>
                    <w:rPr>
                      <w:rFonts w:hint="eastAsia" w:ascii="Times New Roman" w:hAnsi="Times New Roman" w:eastAsia="宋体" w:cs="宋体"/>
                      <w:caps w:val="0"/>
                      <w:color w:val="auto"/>
                      <w:sz w:val="21"/>
                      <w:szCs w:val="21"/>
                      <w:highlight w:val="none"/>
                    </w:rPr>
                    <w:t>减振、</w:t>
                  </w:r>
                  <w:r>
                    <w:rPr>
                      <w:rFonts w:hint="eastAsia" w:cs="宋体"/>
                      <w:caps w:val="0"/>
                      <w:color w:val="auto"/>
                      <w:sz w:val="21"/>
                      <w:szCs w:val="21"/>
                      <w:highlight w:val="none"/>
                      <w:lang w:val="en-US" w:eastAsia="zh-CN"/>
                    </w:rPr>
                    <w:t>厂房</w:t>
                  </w:r>
                  <w:r>
                    <w:rPr>
                      <w:rFonts w:hint="eastAsia" w:ascii="Times New Roman" w:hAnsi="Times New Roman" w:eastAsia="宋体" w:cs="宋体"/>
                      <w:caps w:val="0"/>
                      <w:color w:val="auto"/>
                      <w:sz w:val="21"/>
                      <w:szCs w:val="21"/>
                      <w:highlight w:val="none"/>
                    </w:rPr>
                    <w:t>隔声等噪声防控措施。</w:t>
                  </w:r>
                </w:p>
              </w:tc>
              <w:tc>
                <w:tcPr>
                  <w:tcW w:w="908" w:type="pct"/>
                  <w:tcBorders>
                    <w:tl2br w:val="nil"/>
                    <w:tr2bl w:val="nil"/>
                  </w:tcBorders>
                  <w:noWrap w:val="0"/>
                  <w:vAlign w:val="center"/>
                </w:tcPr>
                <w:p w14:paraId="18699A7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lang w:val="en-US" w:eastAsia="zh-CN"/>
                    </w:rPr>
                  </w:pPr>
                  <w:r>
                    <w:rPr>
                      <w:rFonts w:hint="eastAsia" w:cs="宋体"/>
                      <w:color w:val="auto"/>
                      <w:sz w:val="21"/>
                      <w:szCs w:val="21"/>
                      <w:highlight w:val="none"/>
                      <w:lang w:val="en-US" w:eastAsia="zh-CN"/>
                    </w:rPr>
                    <w:t>新建</w:t>
                  </w:r>
                </w:p>
              </w:tc>
            </w:tr>
            <w:tr w14:paraId="782FFD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461" w:type="pct"/>
                  <w:vMerge w:val="continue"/>
                  <w:tcBorders>
                    <w:tl2br w:val="nil"/>
                    <w:tr2bl w:val="nil"/>
                  </w:tcBorders>
                  <w:noWrap w:val="0"/>
                  <w:vAlign w:val="center"/>
                </w:tcPr>
                <w:p w14:paraId="2D4D4DDB">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Times New Roman" w:hAnsi="Times New Roman" w:eastAsia="宋体" w:cs="宋体"/>
                      <w:caps w:val="0"/>
                      <w:color w:val="auto"/>
                      <w:sz w:val="21"/>
                      <w:szCs w:val="21"/>
                      <w:highlight w:val="none"/>
                      <w:lang w:val="en-GB"/>
                    </w:rPr>
                  </w:pPr>
                </w:p>
              </w:tc>
              <w:tc>
                <w:tcPr>
                  <w:tcW w:w="833" w:type="pct"/>
                  <w:tcBorders>
                    <w:tl2br w:val="nil"/>
                    <w:tr2bl w:val="nil"/>
                  </w:tcBorders>
                  <w:noWrap w:val="0"/>
                  <w:vAlign w:val="center"/>
                </w:tcPr>
                <w:p w14:paraId="170D277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rPr>
                  </w:pPr>
                  <w:r>
                    <w:rPr>
                      <w:rFonts w:hint="eastAsia" w:ascii="Times New Roman" w:hAnsi="Times New Roman" w:eastAsia="宋体" w:cs="宋体"/>
                      <w:caps w:val="0"/>
                      <w:color w:val="auto"/>
                      <w:sz w:val="21"/>
                      <w:szCs w:val="21"/>
                      <w:highlight w:val="none"/>
                    </w:rPr>
                    <w:t>固废污染防治措施</w:t>
                  </w:r>
                </w:p>
              </w:tc>
              <w:tc>
                <w:tcPr>
                  <w:tcW w:w="2796" w:type="pct"/>
                  <w:tcBorders>
                    <w:tl2br w:val="nil"/>
                    <w:tr2bl w:val="nil"/>
                  </w:tcBorders>
                  <w:noWrap w:val="0"/>
                  <w:vAlign w:val="center"/>
                </w:tcPr>
                <w:p w14:paraId="71B4DDC3">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color w:val="auto"/>
                      <w:sz w:val="21"/>
                      <w:szCs w:val="21"/>
                      <w:highlight w:val="none"/>
                    </w:rPr>
                    <w:t>锅炉灰渣</w:t>
                  </w:r>
                  <w:r>
                    <w:rPr>
                      <w:rFonts w:hint="eastAsia" w:ascii="Times New Roman" w:hAnsi="Times New Roman" w:eastAsia="宋体" w:cs="宋体"/>
                      <w:color w:val="auto"/>
                      <w:sz w:val="21"/>
                      <w:szCs w:val="21"/>
                      <w:highlight w:val="none"/>
                      <w:lang w:eastAsia="zh-CN"/>
                    </w:rPr>
                    <w:t>（</w:t>
                  </w:r>
                  <w:r>
                    <w:rPr>
                      <w:rFonts w:hint="eastAsia" w:ascii="Times New Roman" w:hAnsi="Times New Roman" w:eastAsia="宋体" w:cs="宋体"/>
                      <w:color w:val="auto"/>
                      <w:sz w:val="21"/>
                      <w:szCs w:val="21"/>
                      <w:highlight w:val="none"/>
                      <w:lang w:val="en-US" w:eastAsia="zh-CN"/>
                    </w:rPr>
                    <w:t>含</w:t>
                  </w:r>
                  <w:r>
                    <w:rPr>
                      <w:rFonts w:hint="eastAsia" w:ascii="Times New Roman" w:hAnsi="Times New Roman" w:eastAsia="宋体" w:cs="宋体"/>
                      <w:color w:val="auto"/>
                      <w:sz w:val="21"/>
                      <w:szCs w:val="21"/>
                      <w:highlight w:val="none"/>
                    </w:rPr>
                    <w:t>除尘器收集粉尘</w:t>
                  </w:r>
                  <w:r>
                    <w:rPr>
                      <w:rFonts w:hint="eastAsia" w:ascii="Times New Roman" w:hAnsi="Times New Roman" w:eastAsia="宋体" w:cs="宋体"/>
                      <w:color w:val="auto"/>
                      <w:sz w:val="21"/>
                      <w:szCs w:val="21"/>
                      <w:highlight w:val="none"/>
                      <w:lang w:eastAsia="zh-CN"/>
                    </w:rPr>
                    <w:t>）</w:t>
                  </w:r>
                  <w:r>
                    <w:rPr>
                      <w:rFonts w:hint="eastAsia" w:ascii="Times New Roman" w:hAnsi="Times New Roman" w:eastAsia="宋体" w:cs="宋体"/>
                      <w:color w:val="auto"/>
                      <w:sz w:val="21"/>
                      <w:szCs w:val="21"/>
                      <w:highlight w:val="none"/>
                      <w:lang w:val="en-US" w:eastAsia="zh-CN"/>
                    </w:rPr>
                    <w:t>集中收集暂存于灰渣间，定期外售综合利用</w:t>
                  </w:r>
                  <w:r>
                    <w:rPr>
                      <w:rFonts w:hint="eastAsia" w:ascii="Times New Roman" w:hAnsi="Times New Roman" w:eastAsia="宋体" w:cs="宋体"/>
                      <w:color w:val="auto"/>
                      <w:sz w:val="21"/>
                      <w:highlight w:val="none"/>
                    </w:rPr>
                    <w:t>；</w:t>
                  </w:r>
                  <w:r>
                    <w:rPr>
                      <w:rFonts w:hint="eastAsia" w:ascii="Times New Roman" w:hAnsi="Times New Roman" w:eastAsia="宋体" w:cs="宋体"/>
                      <w:color w:val="auto"/>
                      <w:sz w:val="21"/>
                      <w:szCs w:val="21"/>
                      <w:highlight w:val="none"/>
                    </w:rPr>
                    <w:t>废</w:t>
                  </w:r>
                  <w:r>
                    <w:rPr>
                      <w:rFonts w:hint="eastAsia" w:cs="宋体"/>
                      <w:color w:val="auto"/>
                      <w:sz w:val="21"/>
                      <w:szCs w:val="21"/>
                      <w:highlight w:val="none"/>
                      <w:lang w:val="en-US" w:eastAsia="zh-CN"/>
                    </w:rPr>
                    <w:t>反渗膜、</w:t>
                  </w:r>
                  <w:r>
                    <w:rPr>
                      <w:rFonts w:hint="eastAsia" w:ascii="Times New Roman" w:hAnsi="Times New Roman" w:eastAsia="宋体" w:cs="宋体"/>
                      <w:color w:val="auto"/>
                      <w:sz w:val="21"/>
                      <w:szCs w:val="21"/>
                      <w:highlight w:val="none"/>
                    </w:rPr>
                    <w:t>废布袋由</w:t>
                  </w:r>
                  <w:r>
                    <w:rPr>
                      <w:rFonts w:hint="eastAsia" w:ascii="Times New Roman" w:hAnsi="Times New Roman" w:eastAsia="宋体" w:cs="宋体"/>
                      <w:color w:val="auto"/>
                      <w:sz w:val="21"/>
                      <w:szCs w:val="21"/>
                      <w:highlight w:val="none"/>
                      <w:lang w:val="en-US" w:eastAsia="zh-CN"/>
                    </w:rPr>
                    <w:t>厂家回收</w:t>
                  </w:r>
                  <w:r>
                    <w:rPr>
                      <w:rFonts w:hint="eastAsia" w:ascii="Times New Roman" w:hAnsi="Times New Roman" w:eastAsia="宋体" w:cs="宋体"/>
                      <w:color w:val="auto"/>
                      <w:sz w:val="21"/>
                      <w:szCs w:val="21"/>
                      <w:highlight w:val="none"/>
                    </w:rPr>
                    <w:t>处理</w:t>
                  </w:r>
                  <w:r>
                    <w:rPr>
                      <w:rFonts w:hint="eastAsia" w:cs="宋体"/>
                      <w:color w:val="auto"/>
                      <w:sz w:val="21"/>
                      <w:szCs w:val="21"/>
                      <w:highlight w:val="none"/>
                      <w:lang w:eastAsia="zh-CN"/>
                    </w:rPr>
                    <w:t>。</w:t>
                  </w:r>
                </w:p>
              </w:tc>
              <w:tc>
                <w:tcPr>
                  <w:tcW w:w="908" w:type="pct"/>
                  <w:tcBorders>
                    <w:tl2br w:val="nil"/>
                    <w:tr2bl w:val="nil"/>
                  </w:tcBorders>
                  <w:noWrap w:val="0"/>
                  <w:vAlign w:val="center"/>
                </w:tcPr>
                <w:p w14:paraId="533192F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Times New Roman" w:hAnsi="Times New Roman" w:eastAsia="宋体" w:cs="宋体"/>
                      <w:caps w:val="0"/>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依托现有</w:t>
                  </w:r>
                </w:p>
              </w:tc>
            </w:tr>
            <w:tr w14:paraId="4987E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461" w:type="pct"/>
                  <w:tcBorders>
                    <w:tl2br w:val="nil"/>
                    <w:tr2bl w:val="nil"/>
                  </w:tcBorders>
                  <w:noWrap w:val="0"/>
                  <w:vAlign w:val="center"/>
                </w:tcPr>
                <w:p w14:paraId="030C7843">
                  <w:pPr>
                    <w:keepNext w:val="0"/>
                    <w:keepLines w:val="0"/>
                    <w:pageBreakBefore w:val="0"/>
                    <w:widowControl w:val="0"/>
                    <w:kinsoku/>
                    <w:wordWrap/>
                    <w:overflowPunct/>
                    <w:topLinePunct w:val="0"/>
                    <w:autoSpaceDE/>
                    <w:autoSpaceDN/>
                    <w:bidi w:val="0"/>
                    <w:adjustRightInd/>
                    <w:spacing w:line="240" w:lineRule="auto"/>
                    <w:jc w:val="center"/>
                    <w:textAlignment w:val="auto"/>
                    <w:rPr>
                      <w:rFonts w:hint="default" w:ascii="Times New Roman" w:hAnsi="Times New Roman" w:eastAsia="宋体" w:cs="宋体"/>
                      <w:caps w:val="0"/>
                      <w:color w:val="auto"/>
                      <w:sz w:val="21"/>
                      <w:szCs w:val="21"/>
                      <w:highlight w:val="none"/>
                      <w:lang w:val="en-US" w:eastAsia="zh-CN"/>
                    </w:rPr>
                  </w:pPr>
                  <w:r>
                    <w:rPr>
                      <w:rFonts w:hint="eastAsia" w:cs="宋体"/>
                      <w:caps w:val="0"/>
                      <w:color w:val="auto"/>
                      <w:sz w:val="21"/>
                      <w:szCs w:val="21"/>
                      <w:highlight w:val="none"/>
                      <w:lang w:val="en-US" w:eastAsia="zh-CN"/>
                    </w:rPr>
                    <w:t>依托工程</w:t>
                  </w:r>
                </w:p>
              </w:tc>
              <w:tc>
                <w:tcPr>
                  <w:tcW w:w="4538" w:type="pct"/>
                  <w:gridSpan w:val="3"/>
                  <w:tcBorders>
                    <w:tl2br w:val="nil"/>
                    <w:tr2bl w:val="nil"/>
                  </w:tcBorders>
                  <w:noWrap w:val="0"/>
                  <w:vAlign w:val="center"/>
                </w:tcPr>
                <w:p w14:paraId="3F80B138">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eastAsia" w:ascii="Times New Roman" w:hAnsi="Times New Roman" w:eastAsia="宋体" w:cs="宋体"/>
                      <w:color w:val="auto"/>
                      <w:sz w:val="21"/>
                      <w:szCs w:val="21"/>
                      <w:highlight w:val="none"/>
                      <w:lang w:val="en-US" w:eastAsia="zh-CN"/>
                    </w:rPr>
                  </w:pPr>
                  <w:r>
                    <w:rPr>
                      <w:rFonts w:hint="eastAsia" w:cs="宋体"/>
                      <w:color w:val="auto"/>
                      <w:sz w:val="21"/>
                      <w:szCs w:val="21"/>
                      <w:highlight w:val="none"/>
                      <w:lang w:val="en-US" w:eastAsia="zh-CN"/>
                    </w:rPr>
                    <w:t>铁力市</w:t>
                  </w:r>
                  <w:r>
                    <w:rPr>
                      <w:rFonts w:hint="eastAsia" w:ascii="Times New Roman" w:hAnsi="Times New Roman" w:eastAsia="宋体" w:cs="宋体"/>
                      <w:color w:val="auto"/>
                      <w:sz w:val="21"/>
                      <w:szCs w:val="21"/>
                      <w:highlight w:val="none"/>
                    </w:rPr>
                    <w:t>污水处理厂建设规模4万m/,处理工艺主要为</w:t>
                  </w:r>
                  <w:r>
                    <w:rPr>
                      <w:rFonts w:hint="eastAsia" w:ascii="宋体" w:hAnsi="宋体" w:eastAsia="宋体" w:cs="宋体"/>
                      <w:color w:val="auto"/>
                      <w:kern w:val="2"/>
                      <w:sz w:val="21"/>
                      <w:szCs w:val="21"/>
                      <w:highlight w:val="none"/>
                      <w:lang w:val="en-US" w:eastAsia="zh-CN" w:bidi="ar"/>
                    </w:rPr>
                    <w:t>“EBIS+深度处理”</w:t>
                  </w:r>
                  <w:r>
                    <w:rPr>
                      <w:rFonts w:hint="eastAsia" w:ascii="Times New Roman" w:hAnsi="Times New Roman" w:eastAsia="宋体" w:cs="宋体"/>
                      <w:color w:val="auto"/>
                      <w:sz w:val="21"/>
                      <w:szCs w:val="21"/>
                      <w:highlight w:val="none"/>
                    </w:rPr>
                    <w:t>工艺，进水水质指标托要求为：COD:3</w:t>
                  </w:r>
                  <w:r>
                    <w:rPr>
                      <w:rFonts w:hint="eastAsia" w:cs="宋体"/>
                      <w:color w:val="auto"/>
                      <w:sz w:val="21"/>
                      <w:szCs w:val="21"/>
                      <w:highlight w:val="none"/>
                      <w:lang w:val="en-US" w:eastAsia="zh-CN"/>
                    </w:rPr>
                    <w:t>0</w:t>
                  </w:r>
                  <w:r>
                    <w:rPr>
                      <w:rFonts w:hint="eastAsia" w:ascii="Times New Roman" w:hAnsi="Times New Roman" w:eastAsia="宋体" w:cs="宋体"/>
                      <w:color w:val="auto"/>
                      <w:sz w:val="21"/>
                      <w:szCs w:val="21"/>
                      <w:highlight w:val="none"/>
                    </w:rPr>
                    <w:t>0mg/L、BOD</w:t>
                  </w:r>
                  <w:r>
                    <w:rPr>
                      <w:rFonts w:hint="eastAsia" w:ascii="Times New Roman" w:hAnsi="Times New Roman" w:eastAsia="宋体" w:cs="宋体"/>
                      <w:color w:val="auto"/>
                      <w:sz w:val="21"/>
                      <w:szCs w:val="21"/>
                      <w:highlight w:val="none"/>
                      <w:vertAlign w:val="subscript"/>
                    </w:rPr>
                    <w:t>5</w:t>
                  </w:r>
                  <w:r>
                    <w:rPr>
                      <w:rFonts w:hint="eastAsia" w:ascii="Times New Roman" w:hAnsi="Times New Roman" w:eastAsia="宋体" w:cs="宋体"/>
                      <w:color w:val="auto"/>
                      <w:sz w:val="21"/>
                      <w:szCs w:val="21"/>
                      <w:highlight w:val="none"/>
                    </w:rPr>
                    <w:t>:</w:t>
                  </w:r>
                  <w:r>
                    <w:rPr>
                      <w:rFonts w:hint="eastAsia" w:cs="宋体"/>
                      <w:color w:val="auto"/>
                      <w:sz w:val="21"/>
                      <w:szCs w:val="21"/>
                      <w:highlight w:val="none"/>
                      <w:lang w:val="en-US" w:eastAsia="zh-CN"/>
                    </w:rPr>
                    <w:t>180</w:t>
                  </w:r>
                  <w:r>
                    <w:rPr>
                      <w:rFonts w:hint="eastAsia" w:ascii="Times New Roman" w:hAnsi="Times New Roman" w:eastAsia="宋体" w:cs="宋体"/>
                      <w:color w:val="auto"/>
                      <w:sz w:val="21"/>
                      <w:szCs w:val="21"/>
                      <w:highlight w:val="none"/>
                    </w:rPr>
                    <w:t>mg/L、SS:2</w:t>
                  </w:r>
                  <w:r>
                    <w:rPr>
                      <w:rFonts w:hint="eastAsia" w:cs="宋体"/>
                      <w:color w:val="auto"/>
                      <w:sz w:val="21"/>
                      <w:szCs w:val="21"/>
                      <w:highlight w:val="none"/>
                      <w:lang w:val="en-US" w:eastAsia="zh-CN"/>
                    </w:rPr>
                    <w:t>4</w:t>
                  </w:r>
                  <w:r>
                    <w:rPr>
                      <w:rFonts w:hint="eastAsia" w:ascii="Times New Roman" w:hAnsi="Times New Roman" w:eastAsia="宋体" w:cs="宋体"/>
                      <w:color w:val="auto"/>
                      <w:sz w:val="21"/>
                      <w:szCs w:val="21"/>
                      <w:highlight w:val="none"/>
                    </w:rPr>
                    <w:t>0mg/L、氨氮：3</w:t>
                  </w:r>
                  <w:r>
                    <w:rPr>
                      <w:rFonts w:hint="eastAsia" w:cs="宋体"/>
                      <w:color w:val="auto"/>
                      <w:sz w:val="21"/>
                      <w:szCs w:val="21"/>
                      <w:highlight w:val="none"/>
                      <w:lang w:val="en-US" w:eastAsia="zh-CN"/>
                    </w:rPr>
                    <w:t>5</w:t>
                  </w:r>
                  <w:r>
                    <w:rPr>
                      <w:rFonts w:hint="eastAsia" w:ascii="Times New Roman" w:hAnsi="Times New Roman" w:eastAsia="宋体" w:cs="宋体"/>
                      <w:color w:val="auto"/>
                      <w:sz w:val="21"/>
                      <w:szCs w:val="21"/>
                      <w:highlight w:val="none"/>
                    </w:rPr>
                    <w:t xml:space="preserve">mg/L、TN: </w:t>
                  </w:r>
                  <w:r>
                    <w:rPr>
                      <w:rFonts w:hint="eastAsia" w:cs="宋体"/>
                      <w:color w:val="auto"/>
                      <w:sz w:val="21"/>
                      <w:szCs w:val="21"/>
                      <w:highlight w:val="none"/>
                      <w:lang w:val="en-US" w:eastAsia="zh-CN"/>
                    </w:rPr>
                    <w:t>60</w:t>
                  </w:r>
                  <w:r>
                    <w:rPr>
                      <w:rFonts w:hint="eastAsia" w:ascii="Times New Roman" w:hAnsi="Times New Roman" w:eastAsia="宋体" w:cs="宋体"/>
                      <w:color w:val="auto"/>
                      <w:sz w:val="21"/>
                      <w:szCs w:val="21"/>
                      <w:highlight w:val="none"/>
                    </w:rPr>
                    <w:t>mg</w:t>
                  </w:r>
                  <w:r>
                    <w:rPr>
                      <w:rFonts w:hint="eastAsia" w:cs="宋体"/>
                      <w:color w:val="auto"/>
                      <w:sz w:val="21"/>
                      <w:szCs w:val="21"/>
                      <w:highlight w:val="none"/>
                      <w:lang w:val="en-US" w:eastAsia="zh-CN"/>
                    </w:rPr>
                    <w:t>/</w:t>
                  </w:r>
                  <w:r>
                    <w:rPr>
                      <w:rFonts w:hint="eastAsia" w:ascii="Times New Roman" w:hAnsi="Times New Roman" w:eastAsia="宋体" w:cs="宋体"/>
                      <w:color w:val="auto"/>
                      <w:sz w:val="21"/>
                      <w:szCs w:val="21"/>
                      <w:highlight w:val="none"/>
                    </w:rPr>
                    <w:t>L、TP:</w:t>
                  </w:r>
                  <w:r>
                    <w:rPr>
                      <w:rFonts w:hint="eastAsia" w:cs="宋体"/>
                      <w:color w:val="auto"/>
                      <w:sz w:val="21"/>
                      <w:szCs w:val="21"/>
                      <w:highlight w:val="none"/>
                      <w:lang w:val="en-US" w:eastAsia="zh-CN"/>
                    </w:rPr>
                    <w:t>4</w:t>
                  </w:r>
                  <w:r>
                    <w:rPr>
                      <w:rFonts w:hint="eastAsia" w:ascii="Times New Roman" w:hAnsi="Times New Roman" w:eastAsia="宋体" w:cs="宋体"/>
                      <w:color w:val="auto"/>
                      <w:sz w:val="21"/>
                      <w:szCs w:val="21"/>
                      <w:highlight w:val="none"/>
                    </w:rPr>
                    <w:t>mg/L。处理废水满足《城镇污水处理厂污染物排放标准》工(GB18918-2002)一级A标准后排入</w:t>
                  </w:r>
                  <w:r>
                    <w:rPr>
                      <w:rFonts w:hint="eastAsia" w:cs="宋体"/>
                      <w:color w:val="auto"/>
                      <w:sz w:val="21"/>
                      <w:szCs w:val="21"/>
                      <w:highlight w:val="none"/>
                      <w:lang w:val="en-US" w:eastAsia="zh-CN"/>
                    </w:rPr>
                    <w:t>呼兰</w:t>
                  </w:r>
                  <w:r>
                    <w:rPr>
                      <w:rFonts w:hint="eastAsia" w:ascii="Times New Roman" w:hAnsi="Times New Roman" w:eastAsia="宋体" w:cs="宋体"/>
                      <w:color w:val="auto"/>
                      <w:sz w:val="21"/>
                      <w:szCs w:val="21"/>
                      <w:highlight w:val="none"/>
                    </w:rPr>
                    <w:t>河，该污水处理厂现处理量为</w:t>
                  </w:r>
                  <w:r>
                    <w:rPr>
                      <w:rFonts w:hint="eastAsia" w:cs="宋体"/>
                      <w:color w:val="auto"/>
                      <w:sz w:val="21"/>
                      <w:szCs w:val="21"/>
                      <w:highlight w:val="none"/>
                      <w:lang w:val="en-US" w:eastAsia="zh-CN"/>
                    </w:rPr>
                    <w:t>3.799</w:t>
                  </w:r>
                  <w:r>
                    <w:rPr>
                      <w:rFonts w:hint="eastAsia" w:ascii="Times New Roman" w:hAnsi="Times New Roman" w:eastAsia="宋体" w:cs="宋体"/>
                      <w:color w:val="auto"/>
                      <w:sz w:val="21"/>
                      <w:szCs w:val="21"/>
                      <w:highlight w:val="none"/>
                    </w:rPr>
                    <w:t>万m</w:t>
                  </w:r>
                  <w:r>
                    <w:rPr>
                      <w:rFonts w:hint="eastAsia" w:ascii="Times New Roman" w:hAnsi="Times New Roman" w:eastAsia="宋体" w:cs="宋体"/>
                      <w:color w:val="auto"/>
                      <w:sz w:val="21"/>
                      <w:szCs w:val="21"/>
                      <w:highlight w:val="none"/>
                      <w:vertAlign w:val="superscript"/>
                    </w:rPr>
                    <w:t>3</w:t>
                  </w:r>
                  <w:r>
                    <w:rPr>
                      <w:rFonts w:hint="eastAsia" w:ascii="Times New Roman" w:hAnsi="Times New Roman" w:eastAsia="宋体" w:cs="宋体"/>
                      <w:color w:val="auto"/>
                      <w:sz w:val="21"/>
                      <w:szCs w:val="21"/>
                      <w:highlight w:val="none"/>
                    </w:rPr>
                    <w:t>/d,本项目平均日排水量为</w:t>
                  </w:r>
                  <w:r>
                    <w:rPr>
                      <w:rFonts w:hint="eastAsia" w:cs="宋体"/>
                      <w:color w:val="auto"/>
                      <w:sz w:val="21"/>
                      <w:szCs w:val="21"/>
                      <w:highlight w:val="none"/>
                      <w:lang w:val="en-US" w:eastAsia="zh-CN"/>
                    </w:rPr>
                    <w:t>6.94</w:t>
                  </w:r>
                  <w:r>
                    <w:rPr>
                      <w:rFonts w:hint="eastAsia" w:ascii="Times New Roman" w:hAnsi="Times New Roman" w:eastAsia="宋体" w:cs="宋体"/>
                      <w:color w:val="auto"/>
                      <w:sz w:val="21"/>
                      <w:szCs w:val="21"/>
                      <w:highlight w:val="none"/>
                    </w:rPr>
                    <w:t>t,依托可行</w:t>
                  </w:r>
                  <w:r>
                    <w:rPr>
                      <w:rFonts w:hint="eastAsia" w:cs="宋体"/>
                      <w:color w:val="auto"/>
                      <w:sz w:val="21"/>
                      <w:szCs w:val="21"/>
                      <w:highlight w:val="none"/>
                      <w:lang w:eastAsia="zh-CN"/>
                    </w:rPr>
                    <w:t>。</w:t>
                  </w:r>
                </w:p>
              </w:tc>
            </w:tr>
          </w:tbl>
          <w:p w14:paraId="435B13AA">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b/>
                <w:bCs/>
                <w:color w:val="auto"/>
                <w:sz w:val="21"/>
                <w:highlight w:val="none"/>
                <w:lang w:val="en-US" w:eastAsia="zh-CN"/>
              </w:rPr>
            </w:pPr>
            <w:r>
              <w:rPr>
                <w:rFonts w:hint="eastAsia" w:ascii="Times New Roman" w:hAnsi="Times New Roman" w:eastAsia="宋体" w:cs="宋体"/>
                <w:b/>
                <w:bCs/>
                <w:color w:val="auto"/>
                <w:sz w:val="21"/>
                <w:highlight w:val="none"/>
              </w:rPr>
              <w:t>2、</w:t>
            </w:r>
            <w:r>
              <w:rPr>
                <w:rFonts w:hint="eastAsia" w:cs="宋体"/>
                <w:b/>
                <w:bCs/>
                <w:color w:val="auto"/>
                <w:sz w:val="21"/>
                <w:highlight w:val="none"/>
                <w:lang w:val="en-US" w:eastAsia="zh-CN"/>
              </w:rPr>
              <w:t>燃料</w:t>
            </w:r>
          </w:p>
          <w:p w14:paraId="040FCF84">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cs="宋体"/>
                <w:color w:val="auto"/>
                <w:sz w:val="21"/>
                <w:highlight w:val="none"/>
                <w:lang w:val="en-US" w:eastAsia="zh-CN"/>
              </w:rPr>
              <w:t>燃料</w:t>
            </w:r>
            <w:r>
              <w:rPr>
                <w:rFonts w:hint="eastAsia" w:ascii="Times New Roman" w:hAnsi="Times New Roman" w:eastAsia="宋体" w:cs="宋体"/>
                <w:color w:val="auto"/>
                <w:sz w:val="21"/>
                <w:highlight w:val="none"/>
              </w:rPr>
              <w:t>消耗情况见表2-2。</w:t>
            </w:r>
          </w:p>
          <w:p w14:paraId="0ACA4CB2">
            <w:pPr>
              <w:pStyle w:val="1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宋体"/>
                <w:b/>
                <w:color w:val="auto"/>
                <w:sz w:val="21"/>
                <w:szCs w:val="21"/>
                <w:highlight w:val="yellow"/>
              </w:rPr>
            </w:pPr>
            <w:r>
              <w:rPr>
                <w:rFonts w:hint="eastAsia" w:ascii="Times New Roman" w:hAnsi="Times New Roman" w:eastAsia="宋体" w:cs="宋体"/>
                <w:b/>
                <w:color w:val="auto"/>
                <w:sz w:val="21"/>
                <w:szCs w:val="21"/>
                <w:highlight w:val="none"/>
              </w:rPr>
              <w:t xml:space="preserve">表2-2 </w:t>
            </w:r>
            <w:r>
              <w:rPr>
                <w:rFonts w:hint="eastAsia" w:cs="宋体"/>
                <w:b/>
                <w:color w:val="auto"/>
                <w:sz w:val="21"/>
                <w:szCs w:val="21"/>
                <w:highlight w:val="none"/>
                <w:lang w:val="en-US" w:eastAsia="zh-CN"/>
              </w:rPr>
              <w:t>燃料</w:t>
            </w:r>
            <w:r>
              <w:rPr>
                <w:rFonts w:hint="eastAsia" w:ascii="Times New Roman" w:hAnsi="Times New Roman" w:eastAsia="宋体" w:cs="宋体"/>
                <w:b/>
                <w:color w:val="auto"/>
                <w:sz w:val="21"/>
                <w:szCs w:val="21"/>
                <w:highlight w:val="none"/>
              </w:rPr>
              <w:t>消耗情况一览表</w:t>
            </w:r>
          </w:p>
          <w:tbl>
            <w:tblPr>
              <w:tblStyle w:val="4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6" w:type="dxa"/>
                <w:bottom w:w="0" w:type="dxa"/>
                <w:right w:w="56" w:type="dxa"/>
              </w:tblCellMar>
            </w:tblPr>
            <w:tblGrid>
              <w:gridCol w:w="2522"/>
              <w:gridCol w:w="2064"/>
              <w:gridCol w:w="1536"/>
              <w:gridCol w:w="1804"/>
            </w:tblGrid>
            <w:tr w14:paraId="706805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254" w:hRule="atLeast"/>
                <w:jc w:val="center"/>
              </w:trPr>
              <w:tc>
                <w:tcPr>
                  <w:tcW w:w="5000" w:type="pct"/>
                  <w:gridSpan w:val="4"/>
                  <w:noWrap w:val="0"/>
                  <w:vAlign w:val="center"/>
                </w:tcPr>
                <w:p w14:paraId="712704A6">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color w:val="auto"/>
                      <w:sz w:val="21"/>
                      <w:szCs w:val="21"/>
                      <w:highlight w:val="none"/>
                      <w:lang w:eastAsia="zh-CN"/>
                    </w:rPr>
                  </w:pPr>
                  <w:r>
                    <w:rPr>
                      <w:rFonts w:hint="eastAsia" w:ascii="Times New Roman" w:hAnsi="Times New Roman" w:eastAsia="宋体" w:cs="宋体"/>
                      <w:color w:val="auto"/>
                      <w:sz w:val="21"/>
                      <w:szCs w:val="21"/>
                      <w:highlight w:val="none"/>
                      <w:lang w:eastAsia="zh-CN"/>
                    </w:rPr>
                    <w:t>本工程</w:t>
                  </w:r>
                </w:p>
              </w:tc>
            </w:tr>
            <w:tr w14:paraId="774A1A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253" w:hRule="atLeast"/>
                <w:jc w:val="center"/>
              </w:trPr>
              <w:tc>
                <w:tcPr>
                  <w:tcW w:w="1590" w:type="pct"/>
                  <w:noWrap w:val="0"/>
                  <w:vAlign w:val="center"/>
                </w:tcPr>
                <w:p w14:paraId="74300B8C">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名称</w:t>
                  </w:r>
                </w:p>
              </w:tc>
              <w:tc>
                <w:tcPr>
                  <w:tcW w:w="1302" w:type="pct"/>
                  <w:noWrap w:val="0"/>
                  <w:vAlign w:val="center"/>
                </w:tcPr>
                <w:p w14:paraId="390063B3">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color w:val="auto"/>
                      <w:sz w:val="21"/>
                      <w:szCs w:val="21"/>
                      <w:highlight w:val="none"/>
                      <w:lang w:eastAsia="zh-CN"/>
                    </w:rPr>
                  </w:pPr>
                  <w:r>
                    <w:rPr>
                      <w:rFonts w:hint="eastAsia" w:ascii="Times New Roman" w:hAnsi="Times New Roman" w:eastAsia="宋体" w:cs="宋体"/>
                      <w:color w:val="auto"/>
                      <w:sz w:val="21"/>
                      <w:szCs w:val="21"/>
                      <w:highlight w:val="none"/>
                    </w:rPr>
                    <w:t>用量</w:t>
                  </w:r>
                  <w:r>
                    <w:rPr>
                      <w:rFonts w:hint="eastAsia" w:ascii="Times New Roman" w:hAnsi="Times New Roman" w:eastAsia="宋体" w:cs="宋体"/>
                      <w:color w:val="auto"/>
                      <w:sz w:val="21"/>
                      <w:szCs w:val="21"/>
                      <w:highlight w:val="none"/>
                      <w:lang w:eastAsia="zh-CN"/>
                    </w:rPr>
                    <w:t>（</w:t>
                  </w:r>
                  <w:r>
                    <w:rPr>
                      <w:rFonts w:hint="eastAsia" w:ascii="Times New Roman" w:hAnsi="Times New Roman" w:eastAsia="宋体" w:cs="宋体"/>
                      <w:color w:val="auto"/>
                      <w:sz w:val="21"/>
                      <w:szCs w:val="21"/>
                      <w:highlight w:val="none"/>
                    </w:rPr>
                    <w:t>t/a</w:t>
                  </w:r>
                  <w:r>
                    <w:rPr>
                      <w:rFonts w:hint="eastAsia" w:ascii="Times New Roman" w:hAnsi="Times New Roman" w:eastAsia="宋体" w:cs="宋体"/>
                      <w:color w:val="auto"/>
                      <w:sz w:val="21"/>
                      <w:szCs w:val="21"/>
                      <w:highlight w:val="none"/>
                      <w:lang w:eastAsia="zh-CN"/>
                    </w:rPr>
                    <w:t>）</w:t>
                  </w:r>
                </w:p>
              </w:tc>
              <w:tc>
                <w:tcPr>
                  <w:tcW w:w="968" w:type="pct"/>
                  <w:noWrap w:val="0"/>
                  <w:vAlign w:val="center"/>
                </w:tcPr>
                <w:p w14:paraId="16CD5DF2">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来源</w:t>
                  </w:r>
                </w:p>
              </w:tc>
              <w:tc>
                <w:tcPr>
                  <w:tcW w:w="1138" w:type="pct"/>
                  <w:noWrap w:val="0"/>
                  <w:vAlign w:val="center"/>
                </w:tcPr>
                <w:p w14:paraId="4843ED96">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备注</w:t>
                  </w:r>
                </w:p>
              </w:tc>
            </w:tr>
            <w:tr w14:paraId="444A62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6" w:type="dxa"/>
                  <w:bottom w:w="0" w:type="dxa"/>
                  <w:right w:w="56" w:type="dxa"/>
                </w:tblCellMar>
              </w:tblPrEx>
              <w:trPr>
                <w:cantSplit/>
                <w:trHeight w:val="254" w:hRule="atLeast"/>
                <w:jc w:val="center"/>
              </w:trPr>
              <w:tc>
                <w:tcPr>
                  <w:tcW w:w="1590" w:type="pct"/>
                  <w:noWrap w:val="0"/>
                  <w:vAlign w:val="center"/>
                </w:tcPr>
                <w:p w14:paraId="397EA7F9">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color w:val="auto"/>
                      <w:sz w:val="21"/>
                      <w:szCs w:val="21"/>
                      <w:highlight w:val="none"/>
                      <w:lang w:eastAsia="zh-CN"/>
                    </w:rPr>
                  </w:pPr>
                  <w:r>
                    <w:rPr>
                      <w:rFonts w:hint="eastAsia" w:ascii="Times New Roman" w:hAnsi="Times New Roman" w:eastAsia="宋体" w:cs="宋体"/>
                      <w:color w:val="auto"/>
                      <w:sz w:val="21"/>
                      <w:szCs w:val="21"/>
                      <w:highlight w:val="none"/>
                      <w:lang w:val="en-US" w:eastAsia="zh-CN"/>
                    </w:rPr>
                    <w:t>生物质成型燃料</w:t>
                  </w:r>
                </w:p>
              </w:tc>
              <w:tc>
                <w:tcPr>
                  <w:tcW w:w="1302" w:type="pct"/>
                  <w:noWrap w:val="0"/>
                  <w:vAlign w:val="center"/>
                </w:tcPr>
                <w:p w14:paraId="45A0520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3608.77</w:t>
                  </w:r>
                </w:p>
              </w:tc>
              <w:tc>
                <w:tcPr>
                  <w:tcW w:w="968" w:type="pct"/>
                  <w:noWrap w:val="0"/>
                  <w:vAlign w:val="center"/>
                </w:tcPr>
                <w:p w14:paraId="4365B1EB">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外购</w:t>
                  </w:r>
                </w:p>
              </w:tc>
              <w:tc>
                <w:tcPr>
                  <w:tcW w:w="1138" w:type="pct"/>
                  <w:noWrap w:val="0"/>
                  <w:vAlign w:val="center"/>
                </w:tcPr>
                <w:p w14:paraId="42DB7706">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color w:val="auto"/>
                      <w:sz w:val="21"/>
                      <w:szCs w:val="21"/>
                      <w:highlight w:val="none"/>
                      <w:lang w:val="en-US" w:eastAsia="zh-CN"/>
                    </w:rPr>
                    <w:t>/</w:t>
                  </w:r>
                </w:p>
              </w:tc>
            </w:tr>
          </w:tbl>
          <w:p w14:paraId="6D3D6AC2">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20" w:firstLineChars="200"/>
              <w:contextualSpacing/>
              <w:textAlignment w:val="auto"/>
              <w:rPr>
                <w:rFonts w:hint="default" w:ascii="Times New Roman" w:hAnsi="Times New Roman" w:eastAsia="宋体" w:cs="Times New Roman"/>
                <w:color w:val="auto"/>
                <w:sz w:val="21"/>
                <w:szCs w:val="21"/>
                <w:highlight w:val="none"/>
              </w:rPr>
            </w:pPr>
            <w:bookmarkStart w:id="19" w:name="_Hlk150247375"/>
            <w:r>
              <w:rPr>
                <w:rFonts w:hint="default" w:ascii="Times New Roman" w:hAnsi="Times New Roman" w:eastAsia="宋体"/>
                <w:color w:val="auto"/>
                <w:sz w:val="21"/>
                <w:szCs w:val="21"/>
                <w:highlight w:val="none"/>
              </w:rPr>
              <w:t>本项目</w:t>
            </w:r>
            <w:r>
              <w:rPr>
                <w:rFonts w:hint="default" w:ascii="Times New Roman" w:hAnsi="Times New Roman" w:eastAsia="宋体" w:cs="Times New Roman"/>
                <w:color w:val="auto"/>
                <w:sz w:val="21"/>
                <w:szCs w:val="21"/>
                <w:highlight w:val="none"/>
                <w:lang w:val="en-US" w:eastAsia="zh-CN"/>
              </w:rPr>
              <w:t>生物质成型燃料用量</w:t>
            </w:r>
            <w:r>
              <w:rPr>
                <w:rFonts w:hint="default" w:ascii="Times New Roman" w:hAnsi="Times New Roman" w:eastAsia="宋体" w:cs="Times New Roman"/>
                <w:color w:val="auto"/>
                <w:sz w:val="21"/>
                <w:szCs w:val="21"/>
                <w:highlight w:val="none"/>
              </w:rPr>
              <w:t>由本项目1台</w:t>
            </w:r>
            <w:r>
              <w:rPr>
                <w:rFonts w:hint="eastAsia" w:ascii="Times New Roman" w:hAnsi="Times New Roman" w:eastAsia="宋体" w:cs="Times New Roman"/>
                <w:color w:val="auto"/>
                <w:sz w:val="21"/>
                <w:szCs w:val="21"/>
                <w:highlight w:val="none"/>
                <w:lang w:val="en-US" w:eastAsia="zh-CN"/>
              </w:rPr>
              <w:t>4t/h(240</w:t>
            </w:r>
            <w:r>
              <w:rPr>
                <w:rFonts w:hint="eastAsia" w:cs="Times New Roman"/>
                <w:color w:val="auto"/>
                <w:sz w:val="21"/>
                <w:szCs w:val="21"/>
                <w:highlight w:val="none"/>
                <w:lang w:val="en-US" w:eastAsia="zh-CN"/>
              </w:rPr>
              <w:t>万</w:t>
            </w:r>
            <w:r>
              <w:rPr>
                <w:rFonts w:hint="eastAsia" w:ascii="Times New Roman" w:hAnsi="Times New Roman" w:eastAsia="宋体" w:cs="Times New Roman"/>
                <w:color w:val="auto"/>
                <w:sz w:val="21"/>
                <w:szCs w:val="21"/>
                <w:highlight w:val="none"/>
                <w:lang w:val="en-US" w:eastAsia="zh-CN"/>
              </w:rPr>
              <w:t>kcal/h)</w:t>
            </w:r>
            <w:r>
              <w:rPr>
                <w:rFonts w:hint="default" w:ascii="Times New Roman" w:hAnsi="Times New Roman" w:eastAsia="宋体" w:cs="Times New Roman"/>
                <w:color w:val="auto"/>
                <w:sz w:val="21"/>
                <w:szCs w:val="21"/>
                <w:highlight w:val="none"/>
              </w:rPr>
              <w:t>根据</w:t>
            </w:r>
            <w:r>
              <w:rPr>
                <w:rFonts w:hint="default" w:ascii="Times New Roman" w:hAnsi="Times New Roman" w:eastAsia="宋体"/>
                <w:bCs/>
                <w:color w:val="auto"/>
                <w:sz w:val="21"/>
                <w:szCs w:val="21"/>
                <w:highlight w:val="none"/>
              </w:rPr>
              <w:t>燃料成分分析报告</w:t>
            </w:r>
            <w:r>
              <w:rPr>
                <w:rFonts w:hint="default" w:ascii="Times New Roman" w:hAnsi="Times New Roman" w:eastAsia="宋体" w:cs="Times New Roman"/>
                <w:color w:val="auto"/>
                <w:sz w:val="21"/>
                <w:szCs w:val="21"/>
                <w:highlight w:val="none"/>
              </w:rPr>
              <w:t>可知，收到基低位发热量为1</w:t>
            </w:r>
            <w:r>
              <w:rPr>
                <w:rFonts w:hint="eastAsia" w:ascii="Times New Roman" w:hAnsi="Times New Roman" w:eastAsia="宋体" w:cs="Times New Roman"/>
                <w:color w:val="auto"/>
                <w:sz w:val="21"/>
                <w:szCs w:val="21"/>
                <w:highlight w:val="none"/>
                <w:lang w:val="en-US" w:eastAsia="zh-CN"/>
              </w:rPr>
              <w:t>4.132</w:t>
            </w:r>
            <w:r>
              <w:rPr>
                <w:rFonts w:hint="default" w:ascii="Times New Roman" w:hAnsi="Times New Roman" w:eastAsia="宋体" w:cs="Times New Roman"/>
                <w:color w:val="auto"/>
                <w:sz w:val="21"/>
                <w:szCs w:val="21"/>
                <w:highlight w:val="none"/>
              </w:rPr>
              <w:t>MJ/kg、3</w:t>
            </w:r>
            <w:r>
              <w:rPr>
                <w:rFonts w:hint="eastAsia" w:ascii="Times New Roman" w:hAnsi="Times New Roman" w:eastAsia="宋体" w:cs="Times New Roman"/>
                <w:color w:val="auto"/>
                <w:sz w:val="21"/>
                <w:szCs w:val="21"/>
                <w:highlight w:val="none"/>
                <w:lang w:val="en-US" w:eastAsia="zh-CN"/>
              </w:rPr>
              <w:t>380</w:t>
            </w:r>
            <w:r>
              <w:rPr>
                <w:rFonts w:hint="default" w:ascii="Times New Roman" w:hAnsi="Times New Roman" w:eastAsia="宋体" w:cs="Times New Roman"/>
                <w:color w:val="auto"/>
                <w:sz w:val="21"/>
                <w:szCs w:val="21"/>
                <w:highlight w:val="none"/>
              </w:rPr>
              <w:t>kcal/kg，锅炉热效率为8</w:t>
            </w:r>
            <w:r>
              <w:rPr>
                <w:rFonts w:hint="eastAsia"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%，生物质锅炉每小时消耗量=60万大卡*吨位/燃料热值/锅炉燃烧效率，则</w:t>
            </w:r>
            <w:r>
              <w:rPr>
                <w:rFonts w:hint="eastAsia" w:cs="Times New Roman"/>
                <w:color w:val="auto"/>
                <w:sz w:val="21"/>
                <w:szCs w:val="21"/>
                <w:highlight w:val="none"/>
                <w:lang w:val="en-US" w:eastAsia="zh-CN"/>
              </w:rPr>
              <w:t>锅</w:t>
            </w:r>
            <w:r>
              <w:rPr>
                <w:rFonts w:hint="default" w:ascii="Times New Roman" w:hAnsi="Times New Roman" w:eastAsia="宋体"/>
                <w:bCs/>
                <w:color w:val="auto"/>
                <w:sz w:val="21"/>
                <w:szCs w:val="21"/>
                <w:highlight w:val="none"/>
              </w:rPr>
              <w:t>炉</w:t>
            </w:r>
            <w:r>
              <w:rPr>
                <w:rFonts w:hint="default" w:ascii="Times New Roman" w:hAnsi="Times New Roman" w:eastAsia="宋体" w:cs="Times New Roman"/>
                <w:color w:val="auto"/>
                <w:sz w:val="21"/>
                <w:szCs w:val="21"/>
                <w:highlight w:val="none"/>
              </w:rPr>
              <w:t>1小时需要燃料量为</w:t>
            </w:r>
            <w:r>
              <w:rPr>
                <w:rFonts w:hint="eastAsia" w:ascii="Times New Roman" w:hAnsi="Times New Roman" w:eastAsia="宋体" w:cs="Times New Roman"/>
                <w:color w:val="auto"/>
                <w:sz w:val="21"/>
                <w:szCs w:val="21"/>
                <w:highlight w:val="none"/>
                <w:lang w:val="en-US" w:eastAsia="zh-CN"/>
              </w:rPr>
              <w:t>0.84t</w:t>
            </w:r>
            <w:r>
              <w:rPr>
                <w:rFonts w:hint="default" w:ascii="Times New Roman" w:hAnsi="Times New Roman" w:eastAsia="宋体" w:cs="Times New Roman"/>
                <w:color w:val="auto"/>
                <w:sz w:val="21"/>
                <w:szCs w:val="21"/>
                <w:highlight w:val="none"/>
              </w:rPr>
              <w:t>/h，年运行</w:t>
            </w:r>
            <w:r>
              <w:rPr>
                <w:rFonts w:hint="eastAsia" w:ascii="Times New Roman" w:hAnsi="Times New Roman" w:eastAsia="宋体" w:cs="Times New Roman"/>
                <w:color w:val="auto"/>
                <w:sz w:val="21"/>
                <w:szCs w:val="21"/>
                <w:highlight w:val="none"/>
                <w:lang w:val="en-US" w:eastAsia="zh-CN"/>
              </w:rPr>
              <w:t>4536</w:t>
            </w:r>
            <w:r>
              <w:rPr>
                <w:rFonts w:hint="default" w:ascii="Times New Roman" w:hAnsi="Times New Roman" w:eastAsia="宋体" w:cs="Times New Roman"/>
                <w:color w:val="auto"/>
                <w:sz w:val="21"/>
                <w:szCs w:val="21"/>
                <w:highlight w:val="none"/>
              </w:rPr>
              <w:t>h（</w:t>
            </w:r>
            <w:r>
              <w:rPr>
                <w:rFonts w:hint="eastAsia" w:ascii="Times New Roman" w:hAnsi="Times New Roman" w:cs="Times New Roman"/>
                <w:color w:val="auto"/>
                <w:sz w:val="21"/>
                <w:szCs w:val="21"/>
                <w:highlight w:val="none"/>
                <w:lang w:val="en-US" w:eastAsia="zh-CN"/>
              </w:rPr>
              <w:t>180</w:t>
            </w:r>
            <w:r>
              <w:rPr>
                <w:rFonts w:hint="default" w:ascii="Times New Roman" w:hAnsi="Times New Roman" w:eastAsia="宋体" w:cs="Times New Roman"/>
                <w:color w:val="auto"/>
                <w:sz w:val="21"/>
                <w:szCs w:val="21"/>
                <w:highlight w:val="none"/>
              </w:rPr>
              <w:t>d，</w:t>
            </w:r>
            <w:r>
              <w:rPr>
                <w:rFonts w:hint="eastAsia" w:ascii="Times New Roman" w:hAnsi="Times New Roman" w:cs="Times New Roman"/>
                <w:color w:val="auto"/>
                <w:sz w:val="21"/>
                <w:szCs w:val="21"/>
                <w:highlight w:val="none"/>
                <w:lang w:val="en-US" w:eastAsia="zh-CN"/>
              </w:rPr>
              <w:t>24</w:t>
            </w:r>
            <w:r>
              <w:rPr>
                <w:rFonts w:hint="default" w:ascii="Times New Roman" w:hAnsi="Times New Roman" w:eastAsia="宋体" w:cs="Times New Roman"/>
                <w:color w:val="auto"/>
                <w:sz w:val="21"/>
                <w:szCs w:val="21"/>
                <w:highlight w:val="none"/>
              </w:rPr>
              <w:t>h），则每年消耗生物质成型燃料量为</w:t>
            </w:r>
            <w:r>
              <w:rPr>
                <w:rFonts w:hint="eastAsia" w:ascii="Times New Roman" w:hAnsi="Times New Roman" w:cs="Times New Roman"/>
                <w:color w:val="auto"/>
                <w:sz w:val="21"/>
                <w:szCs w:val="21"/>
                <w:highlight w:val="none"/>
                <w:lang w:val="en-US" w:eastAsia="zh-CN"/>
              </w:rPr>
              <w:t>3608.7</w:t>
            </w:r>
            <w:r>
              <w:rPr>
                <w:rFonts w:hint="eastAsia"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rPr>
              <w:t>t。</w:t>
            </w:r>
          </w:p>
          <w:p w14:paraId="58820D9C">
            <w:pPr>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20" w:firstLineChars="200"/>
              <w:contextualSpacing/>
              <w:textAlignment w:val="auto"/>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rPr>
              <w:t>综上，本项目年用生物质成型燃料量为</w:t>
            </w:r>
            <w:r>
              <w:rPr>
                <w:rFonts w:hint="eastAsia" w:ascii="Times New Roman" w:hAnsi="Times New Roman" w:cs="Times New Roman"/>
                <w:color w:val="auto"/>
                <w:sz w:val="21"/>
                <w:szCs w:val="21"/>
                <w:highlight w:val="none"/>
                <w:lang w:val="en-US" w:eastAsia="zh-CN"/>
              </w:rPr>
              <w:t>3608.7</w:t>
            </w:r>
            <w:r>
              <w:rPr>
                <w:rFonts w:hint="eastAsia" w:ascii="Times New Roman" w:hAnsi="Times New Roman" w:eastAsia="宋体"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rPr>
              <w:t>t</w:t>
            </w:r>
            <w:r>
              <w:rPr>
                <w:rFonts w:hint="eastAsia" w:ascii="Times New Roman" w:hAnsi="Times New Roman" w:eastAsia="宋体" w:cs="Times New Roman"/>
                <w:color w:val="auto"/>
                <w:sz w:val="21"/>
                <w:szCs w:val="21"/>
                <w:highlight w:val="none"/>
                <w:lang w:val="en-US" w:eastAsia="zh-CN"/>
              </w:rPr>
              <w:t>/a</w:t>
            </w:r>
            <w:r>
              <w:rPr>
                <w:rFonts w:hint="eastAsia" w:ascii="Times New Roman" w:hAnsi="Times New Roman" w:eastAsia="宋体" w:cs="Times New Roman"/>
                <w:color w:val="auto"/>
                <w:sz w:val="21"/>
                <w:szCs w:val="21"/>
                <w:highlight w:val="none"/>
              </w:rPr>
              <w:t>。</w:t>
            </w:r>
          </w:p>
          <w:bookmarkEnd w:id="19"/>
          <w:p w14:paraId="7F6E63C5">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b/>
                <w:bCs/>
                <w:color w:val="auto"/>
                <w:sz w:val="21"/>
                <w:highlight w:val="none"/>
              </w:rPr>
            </w:pPr>
            <w:r>
              <w:rPr>
                <w:rFonts w:hint="eastAsia" w:ascii="Times New Roman" w:hAnsi="Times New Roman" w:eastAsia="宋体" w:cs="宋体"/>
                <w:b/>
                <w:bCs/>
                <w:color w:val="auto"/>
                <w:sz w:val="21"/>
                <w:highlight w:val="none"/>
                <w:lang w:val="en-US" w:eastAsia="zh-CN"/>
              </w:rPr>
              <w:t>3</w:t>
            </w:r>
            <w:r>
              <w:rPr>
                <w:rFonts w:hint="eastAsia" w:ascii="Times New Roman" w:hAnsi="Times New Roman" w:eastAsia="宋体" w:cs="宋体"/>
                <w:b/>
                <w:bCs/>
                <w:color w:val="auto"/>
                <w:sz w:val="21"/>
                <w:highlight w:val="none"/>
              </w:rPr>
              <w:t>、主要设备</w:t>
            </w:r>
          </w:p>
          <w:p w14:paraId="587CBE96">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rPr>
              <w:t>本项目所需主要设备见表2-</w:t>
            </w:r>
            <w:r>
              <w:rPr>
                <w:rFonts w:hint="eastAsia" w:ascii="Times New Roman" w:hAnsi="Times New Roman" w:eastAsia="宋体" w:cs="宋体"/>
                <w:color w:val="auto"/>
                <w:sz w:val="21"/>
                <w:highlight w:val="none"/>
                <w:lang w:val="en-US" w:eastAsia="zh-CN"/>
              </w:rPr>
              <w:t>3</w:t>
            </w:r>
            <w:r>
              <w:rPr>
                <w:rFonts w:hint="eastAsia" w:ascii="Times New Roman" w:hAnsi="Times New Roman" w:eastAsia="宋体" w:cs="宋体"/>
                <w:color w:val="auto"/>
                <w:sz w:val="21"/>
                <w:highlight w:val="none"/>
              </w:rPr>
              <w:t>。</w:t>
            </w:r>
          </w:p>
          <w:p w14:paraId="243E2278">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p>
          <w:p w14:paraId="4A5B64E2">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p>
          <w:p w14:paraId="3ACB279B">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p>
          <w:p w14:paraId="39A989F0">
            <w:pPr>
              <w:pStyle w:val="1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宋体"/>
                <w:b/>
                <w:bCs/>
                <w:color w:val="auto"/>
                <w:sz w:val="21"/>
                <w:szCs w:val="21"/>
                <w:highlight w:val="none"/>
                <w:lang w:val="en-US" w:eastAsia="zh-CN"/>
              </w:rPr>
            </w:pPr>
            <w:r>
              <w:rPr>
                <w:rFonts w:hint="eastAsia" w:ascii="Times New Roman" w:hAnsi="Times New Roman" w:eastAsia="宋体" w:cs="宋体"/>
                <w:b/>
                <w:bCs/>
                <w:color w:val="auto"/>
                <w:sz w:val="21"/>
                <w:szCs w:val="21"/>
                <w:highlight w:val="none"/>
                <w:lang w:val="en-US" w:eastAsia="zh-CN"/>
              </w:rPr>
              <w:t>表2-3 本项目设备一览表</w:t>
            </w:r>
          </w:p>
          <w:tbl>
            <w:tblPr>
              <w:tblStyle w:val="42"/>
              <w:tblW w:w="797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499"/>
              <w:gridCol w:w="11"/>
              <w:gridCol w:w="2062"/>
              <w:gridCol w:w="1307"/>
              <w:gridCol w:w="1307"/>
            </w:tblGrid>
            <w:tr w14:paraId="1F333D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5" w:type="pct"/>
                  <w:tcBorders>
                    <w:tl2br w:val="nil"/>
                    <w:tr2bl w:val="nil"/>
                  </w:tcBorders>
                  <w:vAlign w:val="center"/>
                </w:tcPr>
                <w:p w14:paraId="2BB686A4">
                  <w:pPr>
                    <w:jc w:val="center"/>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rPr>
                    <w:t>序号</w:t>
                  </w:r>
                </w:p>
              </w:tc>
              <w:tc>
                <w:tcPr>
                  <w:tcW w:w="1573" w:type="pct"/>
                  <w:gridSpan w:val="2"/>
                  <w:tcBorders>
                    <w:tl2br w:val="nil"/>
                    <w:tr2bl w:val="nil"/>
                  </w:tcBorders>
                  <w:vAlign w:val="center"/>
                </w:tcPr>
                <w:p w14:paraId="73E33DD6">
                  <w:pPr>
                    <w:pStyle w:val="271"/>
                    <w:keepNext/>
                    <w:keepLines/>
                    <w:ind w:left="525" w:leftChars="50" w:right="105" w:rightChars="50"/>
                    <w:contextualSpacing/>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rPr>
                    <w:t>名称</w:t>
                  </w:r>
                </w:p>
              </w:tc>
              <w:tc>
                <w:tcPr>
                  <w:tcW w:w="1292" w:type="pct"/>
                  <w:tcBorders>
                    <w:tl2br w:val="nil"/>
                    <w:tr2bl w:val="nil"/>
                  </w:tcBorders>
                  <w:vAlign w:val="center"/>
                </w:tcPr>
                <w:p w14:paraId="728A4902">
                  <w:pPr>
                    <w:pStyle w:val="271"/>
                    <w:keepNext/>
                    <w:keepLines/>
                    <w:ind w:left="525" w:leftChars="50" w:right="105" w:rightChars="50"/>
                    <w:contextualSpacing/>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rPr>
                    <w:t>规格型号</w:t>
                  </w:r>
                </w:p>
              </w:tc>
              <w:tc>
                <w:tcPr>
                  <w:tcW w:w="819" w:type="pct"/>
                  <w:tcBorders>
                    <w:tl2br w:val="nil"/>
                    <w:tr2bl w:val="nil"/>
                  </w:tcBorders>
                  <w:vAlign w:val="center"/>
                </w:tcPr>
                <w:p w14:paraId="6316BFEE">
                  <w:pPr>
                    <w:pStyle w:val="271"/>
                    <w:keepNext/>
                    <w:keepLines/>
                    <w:ind w:left="525" w:leftChars="50" w:right="105" w:rightChars="50"/>
                    <w:contextualSpacing/>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rPr>
                    <w:t>数量</w:t>
                  </w:r>
                </w:p>
              </w:tc>
              <w:tc>
                <w:tcPr>
                  <w:tcW w:w="819" w:type="pct"/>
                  <w:tcBorders>
                    <w:tl2br w:val="nil"/>
                    <w:tr2bl w:val="nil"/>
                  </w:tcBorders>
                  <w:vAlign w:val="center"/>
                </w:tcPr>
                <w:p w14:paraId="3A83BE6A">
                  <w:pPr>
                    <w:pStyle w:val="271"/>
                    <w:keepNext/>
                    <w:keepLines/>
                    <w:ind w:left="525" w:leftChars="50" w:right="105" w:rightChars="50"/>
                    <w:contextualSpacing/>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备注</w:t>
                  </w:r>
                </w:p>
              </w:tc>
            </w:tr>
            <w:tr w14:paraId="04DF4E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5" w:type="pct"/>
                  <w:tcBorders>
                    <w:tl2br w:val="nil"/>
                    <w:tr2bl w:val="nil"/>
                  </w:tcBorders>
                  <w:vAlign w:val="center"/>
                </w:tcPr>
                <w:p w14:paraId="06794046">
                  <w:pPr>
                    <w:pStyle w:val="271"/>
                    <w:ind w:left="525" w:leftChars="50" w:right="105" w:rightChars="50"/>
                    <w:contextualSpacing/>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rPr>
                    <w:t>1</w:t>
                  </w:r>
                </w:p>
              </w:tc>
              <w:tc>
                <w:tcPr>
                  <w:tcW w:w="1573" w:type="pct"/>
                  <w:gridSpan w:val="2"/>
                  <w:tcBorders>
                    <w:tl2br w:val="nil"/>
                    <w:tr2bl w:val="nil"/>
                  </w:tcBorders>
                  <w:vAlign w:val="center"/>
                </w:tcPr>
                <w:p w14:paraId="2E61A3DF">
                  <w:pPr>
                    <w:pStyle w:val="271"/>
                    <w:ind w:right="105" w:rightChars="50"/>
                    <w:contextualSpacing/>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rPr>
                    <w:t>生物质</w:t>
                  </w:r>
                  <w:r>
                    <w:rPr>
                      <w:rFonts w:hint="eastAsia" w:ascii="Times New Roman" w:hAnsi="Times New Roman" w:eastAsia="宋体" w:cs="宋体"/>
                      <w:b w:val="0"/>
                      <w:bCs w:val="0"/>
                      <w:color w:val="auto"/>
                      <w:sz w:val="21"/>
                      <w:szCs w:val="21"/>
                      <w:highlight w:val="none"/>
                      <w:lang w:val="en-US" w:eastAsia="zh-CN"/>
                    </w:rPr>
                    <w:t>热水</w:t>
                  </w:r>
                  <w:r>
                    <w:rPr>
                      <w:rFonts w:hint="eastAsia" w:ascii="Times New Roman" w:hAnsi="Times New Roman" w:eastAsia="宋体" w:cs="宋体"/>
                      <w:b w:val="0"/>
                      <w:bCs w:val="0"/>
                      <w:color w:val="auto"/>
                      <w:sz w:val="21"/>
                      <w:szCs w:val="21"/>
                      <w:highlight w:val="none"/>
                    </w:rPr>
                    <w:t>锅炉</w:t>
                  </w:r>
                </w:p>
              </w:tc>
              <w:tc>
                <w:tcPr>
                  <w:tcW w:w="1292" w:type="pct"/>
                  <w:tcBorders>
                    <w:tl2br w:val="nil"/>
                    <w:tr2bl w:val="nil"/>
                  </w:tcBorders>
                  <w:vAlign w:val="center"/>
                </w:tcPr>
                <w:p w14:paraId="690B754C">
                  <w:pPr>
                    <w:pStyle w:val="271"/>
                    <w:ind w:right="105" w:rightChars="50"/>
                    <w:contextualSpacing/>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2.8MW</w:t>
                  </w:r>
                </w:p>
              </w:tc>
              <w:tc>
                <w:tcPr>
                  <w:tcW w:w="819" w:type="pct"/>
                  <w:tcBorders>
                    <w:tl2br w:val="nil"/>
                    <w:tr2bl w:val="nil"/>
                  </w:tcBorders>
                  <w:vAlign w:val="center"/>
                </w:tcPr>
                <w:p w14:paraId="64E3258A">
                  <w:pPr>
                    <w:pStyle w:val="271"/>
                    <w:ind w:left="525" w:leftChars="50" w:right="105" w:rightChars="50"/>
                    <w:contextualSpacing/>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1台</w:t>
                  </w:r>
                </w:p>
              </w:tc>
              <w:tc>
                <w:tcPr>
                  <w:tcW w:w="819" w:type="pct"/>
                  <w:tcBorders>
                    <w:tl2br w:val="nil"/>
                    <w:tr2bl w:val="nil"/>
                  </w:tcBorders>
                  <w:vAlign w:val="center"/>
                </w:tcPr>
                <w:p w14:paraId="44C8B26D">
                  <w:pPr>
                    <w:pStyle w:val="271"/>
                    <w:ind w:left="525" w:leftChars="50" w:right="105" w:rightChars="50"/>
                    <w:contextualSpacing/>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利旧改造</w:t>
                  </w:r>
                </w:p>
              </w:tc>
            </w:tr>
            <w:tr w14:paraId="5AAC25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5" w:type="pct"/>
                  <w:tcBorders>
                    <w:tl2br w:val="nil"/>
                    <w:tr2bl w:val="nil"/>
                  </w:tcBorders>
                  <w:shd w:val="clear" w:color="auto" w:fill="auto"/>
                  <w:vAlign w:val="center"/>
                </w:tcPr>
                <w:p w14:paraId="5462C4A8">
                  <w:pPr>
                    <w:pStyle w:val="271"/>
                    <w:ind w:left="525" w:leftChars="50" w:right="105" w:rightChars="50" w:hanging="420" w:hangingChars="200"/>
                    <w:contextualSpacing/>
                    <w:rPr>
                      <w:rFonts w:hint="default" w:ascii="Times New Roman" w:hAnsi="Times New Roman" w:eastAsia="宋体" w:cs="宋体"/>
                      <w:b w:val="0"/>
                      <w:bCs w:val="0"/>
                      <w:color w:val="auto"/>
                      <w:kern w:val="44"/>
                      <w:sz w:val="21"/>
                      <w:szCs w:val="21"/>
                      <w:highlight w:val="none"/>
                      <w:lang w:val="en-US" w:eastAsia="zh-CN" w:bidi="ar-SA"/>
                    </w:rPr>
                  </w:pPr>
                  <w:r>
                    <w:rPr>
                      <w:rFonts w:hint="eastAsia" w:ascii="Times New Roman" w:hAnsi="Times New Roman" w:eastAsia="宋体" w:cs="宋体"/>
                      <w:b w:val="0"/>
                      <w:bCs w:val="0"/>
                      <w:color w:val="auto"/>
                      <w:kern w:val="44"/>
                      <w:sz w:val="21"/>
                      <w:szCs w:val="21"/>
                      <w:highlight w:val="none"/>
                      <w:lang w:val="en-US" w:eastAsia="zh-CN" w:bidi="ar-SA"/>
                    </w:rPr>
                    <w:t>2</w:t>
                  </w:r>
                </w:p>
              </w:tc>
              <w:tc>
                <w:tcPr>
                  <w:tcW w:w="1573" w:type="pct"/>
                  <w:gridSpan w:val="2"/>
                  <w:tcBorders>
                    <w:tl2br w:val="nil"/>
                    <w:tr2bl w:val="nil"/>
                  </w:tcBorders>
                  <w:shd w:val="clear" w:color="auto" w:fill="auto"/>
                  <w:vAlign w:val="center"/>
                </w:tcPr>
                <w:p w14:paraId="15816B7B">
                  <w:pPr>
                    <w:jc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ascii="Times New Roman" w:hAnsi="Times New Roman" w:eastAsia="宋体" w:cs="宋体"/>
                      <w:b w:val="0"/>
                      <w:bCs w:val="0"/>
                      <w:color w:val="auto"/>
                      <w:sz w:val="21"/>
                      <w:szCs w:val="21"/>
                      <w:highlight w:val="none"/>
                    </w:rPr>
                    <w:t>软水器</w:t>
                  </w:r>
                  <w:r>
                    <w:rPr>
                      <w:rFonts w:hint="eastAsia" w:ascii="Times New Roman" w:hAnsi="Times New Roman" w:eastAsia="宋体" w:cs="宋体"/>
                      <w:b w:val="0"/>
                      <w:bCs w:val="0"/>
                      <w:color w:val="auto"/>
                      <w:sz w:val="21"/>
                      <w:szCs w:val="21"/>
                      <w:highlight w:val="none"/>
                      <w:lang w:eastAsia="zh-CN"/>
                    </w:rPr>
                    <w:t>（</w:t>
                  </w:r>
                  <w:r>
                    <w:rPr>
                      <w:rFonts w:hint="eastAsia" w:cs="宋体"/>
                      <w:b w:val="0"/>
                      <w:bCs w:val="0"/>
                      <w:color w:val="auto"/>
                      <w:sz w:val="21"/>
                      <w:szCs w:val="21"/>
                      <w:highlight w:val="none"/>
                      <w:lang w:val="en-US" w:eastAsia="zh-CN"/>
                    </w:rPr>
                    <w:t>RO反渗透工艺</w:t>
                  </w:r>
                  <w:r>
                    <w:rPr>
                      <w:rFonts w:hint="eastAsia" w:ascii="Times New Roman" w:hAnsi="Times New Roman" w:eastAsia="宋体" w:cs="宋体"/>
                      <w:b w:val="0"/>
                      <w:bCs w:val="0"/>
                      <w:color w:val="auto"/>
                      <w:sz w:val="21"/>
                      <w:szCs w:val="21"/>
                      <w:highlight w:val="none"/>
                      <w:lang w:eastAsia="zh-CN"/>
                    </w:rPr>
                    <w:t>）</w:t>
                  </w:r>
                </w:p>
              </w:tc>
              <w:tc>
                <w:tcPr>
                  <w:tcW w:w="1292" w:type="pct"/>
                  <w:tcBorders>
                    <w:tl2br w:val="nil"/>
                    <w:tr2bl w:val="nil"/>
                  </w:tcBorders>
                  <w:shd w:val="clear" w:color="auto" w:fill="auto"/>
                  <w:vAlign w:val="center"/>
                </w:tcPr>
                <w:p w14:paraId="3BC017D5">
                  <w:pPr>
                    <w:jc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cs="宋体"/>
                      <w:b w:val="0"/>
                      <w:bCs w:val="0"/>
                      <w:color w:val="auto"/>
                      <w:sz w:val="21"/>
                      <w:szCs w:val="21"/>
                      <w:highlight w:val="none"/>
                      <w:lang w:val="en-US" w:eastAsia="zh-CN"/>
                    </w:rPr>
                    <w:t>/</w:t>
                  </w:r>
                </w:p>
              </w:tc>
              <w:tc>
                <w:tcPr>
                  <w:tcW w:w="819" w:type="pct"/>
                  <w:tcBorders>
                    <w:tl2br w:val="nil"/>
                    <w:tr2bl w:val="nil"/>
                  </w:tcBorders>
                  <w:shd w:val="clear" w:color="auto" w:fill="auto"/>
                  <w:vAlign w:val="center"/>
                </w:tcPr>
                <w:p w14:paraId="33A4B052">
                  <w:pPr>
                    <w:pStyle w:val="271"/>
                    <w:ind w:left="525" w:leftChars="50" w:right="105" w:rightChars="50" w:hanging="420" w:hangingChars="200"/>
                    <w:contextualSpacing/>
                    <w:rPr>
                      <w:rFonts w:hint="eastAsia" w:ascii="Times New Roman" w:hAnsi="Times New Roman" w:eastAsia="宋体" w:cs="宋体"/>
                      <w:b w:val="0"/>
                      <w:bCs w:val="0"/>
                      <w:color w:val="auto"/>
                      <w:kern w:val="44"/>
                      <w:sz w:val="21"/>
                      <w:szCs w:val="21"/>
                      <w:highlight w:val="none"/>
                      <w:lang w:val="en-US" w:eastAsia="zh-CN" w:bidi="ar-SA"/>
                    </w:rPr>
                  </w:pPr>
                  <w:r>
                    <w:rPr>
                      <w:rFonts w:hint="eastAsia" w:ascii="Times New Roman" w:hAnsi="Times New Roman" w:eastAsia="宋体" w:cs="宋体"/>
                      <w:b w:val="0"/>
                      <w:bCs w:val="0"/>
                      <w:color w:val="auto"/>
                      <w:sz w:val="21"/>
                      <w:szCs w:val="21"/>
                      <w:highlight w:val="none"/>
                      <w:lang w:val="en-US" w:eastAsia="zh-CN"/>
                    </w:rPr>
                    <w:t>1套</w:t>
                  </w:r>
                </w:p>
              </w:tc>
              <w:tc>
                <w:tcPr>
                  <w:tcW w:w="819" w:type="pct"/>
                  <w:tcBorders>
                    <w:tl2br w:val="nil"/>
                    <w:tr2bl w:val="nil"/>
                  </w:tcBorders>
                  <w:shd w:val="clear" w:color="auto" w:fill="auto"/>
                  <w:vAlign w:val="center"/>
                </w:tcPr>
                <w:p w14:paraId="4AFC6B69">
                  <w:pPr>
                    <w:pStyle w:val="271"/>
                    <w:ind w:left="525" w:leftChars="50" w:right="105" w:rightChars="50" w:hanging="420" w:hangingChars="200"/>
                    <w:contextualSpacing/>
                    <w:rPr>
                      <w:rFonts w:hint="eastAsia" w:ascii="Times New Roman" w:hAnsi="Times New Roman" w:eastAsia="宋体" w:cs="宋体"/>
                      <w:b w:val="0"/>
                      <w:bCs w:val="0"/>
                      <w:color w:val="auto"/>
                      <w:kern w:val="44"/>
                      <w:sz w:val="21"/>
                      <w:szCs w:val="21"/>
                      <w:highlight w:val="none"/>
                      <w:lang w:val="en-US" w:eastAsia="zh-CN" w:bidi="ar-SA"/>
                    </w:rPr>
                  </w:pPr>
                  <w:r>
                    <w:rPr>
                      <w:rFonts w:hint="eastAsia" w:ascii="Times New Roman" w:hAnsi="Times New Roman" w:eastAsia="宋体" w:cs="宋体"/>
                      <w:b w:val="0"/>
                      <w:bCs w:val="0"/>
                      <w:color w:val="auto"/>
                      <w:sz w:val="21"/>
                      <w:szCs w:val="21"/>
                      <w:highlight w:val="none"/>
                      <w:lang w:val="en-US" w:eastAsia="zh-CN"/>
                    </w:rPr>
                    <w:t>利旧</w:t>
                  </w:r>
                </w:p>
              </w:tc>
            </w:tr>
            <w:tr w14:paraId="6461DB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5" w:type="pct"/>
                  <w:tcBorders>
                    <w:tl2br w:val="nil"/>
                    <w:tr2bl w:val="nil"/>
                  </w:tcBorders>
                  <w:vAlign w:val="center"/>
                </w:tcPr>
                <w:p w14:paraId="57282EBC">
                  <w:pPr>
                    <w:pStyle w:val="271"/>
                    <w:ind w:left="525" w:leftChars="50" w:right="105" w:rightChars="50" w:hanging="420" w:hangingChars="200"/>
                    <w:contextualSpacing/>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rPr>
                    <w:t>3</w:t>
                  </w:r>
                </w:p>
              </w:tc>
              <w:tc>
                <w:tcPr>
                  <w:tcW w:w="1566" w:type="pct"/>
                  <w:tcBorders>
                    <w:tl2br w:val="nil"/>
                    <w:tr2bl w:val="nil"/>
                  </w:tcBorders>
                  <w:vAlign w:val="center"/>
                </w:tcPr>
                <w:p w14:paraId="1042A3B2">
                  <w:pPr>
                    <w:pStyle w:val="271"/>
                    <w:ind w:left="525" w:leftChars="50" w:right="105" w:rightChars="50"/>
                    <w:contextualSpacing/>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lang w:val="en-US" w:eastAsia="zh-CN"/>
                    </w:rPr>
                    <w:t>引风机</w:t>
                  </w:r>
                </w:p>
              </w:tc>
              <w:tc>
                <w:tcPr>
                  <w:tcW w:w="1299" w:type="pct"/>
                  <w:gridSpan w:val="2"/>
                  <w:tcBorders>
                    <w:tl2br w:val="nil"/>
                    <w:tr2bl w:val="nil"/>
                  </w:tcBorders>
                  <w:vAlign w:val="center"/>
                </w:tcPr>
                <w:p w14:paraId="05AC8CD5">
                  <w:pPr>
                    <w:jc w:val="center"/>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w:t>
                  </w:r>
                </w:p>
              </w:tc>
              <w:tc>
                <w:tcPr>
                  <w:tcW w:w="819" w:type="pct"/>
                  <w:tcBorders>
                    <w:tl2br w:val="nil"/>
                    <w:tr2bl w:val="nil"/>
                  </w:tcBorders>
                  <w:vAlign w:val="center"/>
                </w:tcPr>
                <w:p w14:paraId="332D1793">
                  <w:pPr>
                    <w:keepNext w:val="0"/>
                    <w:keepLines w:val="0"/>
                    <w:widowControl/>
                    <w:suppressLineNumbers w:val="0"/>
                    <w:jc w:val="center"/>
                    <w:textAlignment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ascii="Times New Roman" w:hAnsi="Times New Roman" w:eastAsia="宋体" w:cs="宋体"/>
                      <w:b w:val="0"/>
                      <w:bCs w:val="0"/>
                      <w:color w:val="auto"/>
                      <w:kern w:val="2"/>
                      <w:sz w:val="21"/>
                      <w:szCs w:val="21"/>
                      <w:highlight w:val="none"/>
                      <w:lang w:val="en-US" w:eastAsia="zh-CN" w:bidi="ar-SA"/>
                    </w:rPr>
                    <w:t>1台</w:t>
                  </w:r>
                </w:p>
              </w:tc>
              <w:tc>
                <w:tcPr>
                  <w:tcW w:w="819" w:type="pct"/>
                  <w:tcBorders>
                    <w:tl2br w:val="nil"/>
                    <w:tr2bl w:val="nil"/>
                  </w:tcBorders>
                  <w:vAlign w:val="center"/>
                </w:tcPr>
                <w:p w14:paraId="1915F1D9">
                  <w:pPr>
                    <w:keepNext w:val="0"/>
                    <w:keepLines w:val="0"/>
                    <w:widowControl/>
                    <w:suppressLineNumbers w:val="0"/>
                    <w:jc w:val="center"/>
                    <w:textAlignment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ascii="Times New Roman" w:hAnsi="Times New Roman" w:eastAsia="宋体" w:cs="宋体"/>
                      <w:b w:val="0"/>
                      <w:bCs w:val="0"/>
                      <w:color w:val="auto"/>
                      <w:sz w:val="21"/>
                      <w:szCs w:val="21"/>
                      <w:highlight w:val="none"/>
                      <w:lang w:val="en-US" w:eastAsia="zh-CN"/>
                    </w:rPr>
                    <w:t>利旧</w:t>
                  </w:r>
                </w:p>
              </w:tc>
            </w:tr>
            <w:tr w14:paraId="4D61FB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5" w:type="pct"/>
                  <w:tcBorders>
                    <w:tl2br w:val="nil"/>
                    <w:tr2bl w:val="nil"/>
                  </w:tcBorders>
                  <w:vAlign w:val="center"/>
                </w:tcPr>
                <w:p w14:paraId="6A6C325F">
                  <w:pPr>
                    <w:pStyle w:val="271"/>
                    <w:ind w:left="525" w:leftChars="50" w:right="105" w:rightChars="50" w:hanging="420" w:hangingChars="200"/>
                    <w:contextualSpacing/>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4</w:t>
                  </w:r>
                </w:p>
              </w:tc>
              <w:tc>
                <w:tcPr>
                  <w:tcW w:w="1566" w:type="pct"/>
                  <w:tcBorders>
                    <w:tl2br w:val="nil"/>
                    <w:tr2bl w:val="nil"/>
                  </w:tcBorders>
                  <w:vAlign w:val="center"/>
                </w:tcPr>
                <w:p w14:paraId="6EE1D253">
                  <w:pPr>
                    <w:pStyle w:val="271"/>
                    <w:ind w:left="525" w:leftChars="50" w:right="105" w:rightChars="50"/>
                    <w:contextualSpacing/>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lang w:val="en-US" w:eastAsia="zh-CN"/>
                    </w:rPr>
                    <w:t>鼓风机</w:t>
                  </w:r>
                </w:p>
              </w:tc>
              <w:tc>
                <w:tcPr>
                  <w:tcW w:w="1299" w:type="pct"/>
                  <w:gridSpan w:val="2"/>
                  <w:tcBorders>
                    <w:tl2br w:val="nil"/>
                    <w:tr2bl w:val="nil"/>
                  </w:tcBorders>
                  <w:vAlign w:val="center"/>
                </w:tcPr>
                <w:p w14:paraId="5D11AA7E">
                  <w:pPr>
                    <w:jc w:val="center"/>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w:t>
                  </w:r>
                </w:p>
              </w:tc>
              <w:tc>
                <w:tcPr>
                  <w:tcW w:w="819" w:type="pct"/>
                  <w:tcBorders>
                    <w:tl2br w:val="nil"/>
                    <w:tr2bl w:val="nil"/>
                  </w:tcBorders>
                  <w:vAlign w:val="center"/>
                </w:tcPr>
                <w:p w14:paraId="67BECBA6">
                  <w:pPr>
                    <w:keepNext w:val="0"/>
                    <w:keepLines w:val="0"/>
                    <w:widowControl/>
                    <w:suppressLineNumbers w:val="0"/>
                    <w:jc w:val="center"/>
                    <w:textAlignment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ascii="Times New Roman" w:hAnsi="Times New Roman" w:eastAsia="宋体" w:cs="宋体"/>
                      <w:b w:val="0"/>
                      <w:bCs w:val="0"/>
                      <w:color w:val="auto"/>
                      <w:kern w:val="2"/>
                      <w:sz w:val="21"/>
                      <w:szCs w:val="21"/>
                      <w:highlight w:val="none"/>
                      <w:lang w:val="en-US" w:eastAsia="zh-CN" w:bidi="ar-SA"/>
                    </w:rPr>
                    <w:t>1台</w:t>
                  </w:r>
                </w:p>
              </w:tc>
              <w:tc>
                <w:tcPr>
                  <w:tcW w:w="819" w:type="pct"/>
                  <w:tcBorders>
                    <w:tl2br w:val="nil"/>
                    <w:tr2bl w:val="nil"/>
                  </w:tcBorders>
                  <w:vAlign w:val="center"/>
                </w:tcPr>
                <w:p w14:paraId="167214CA">
                  <w:pPr>
                    <w:keepNext w:val="0"/>
                    <w:keepLines w:val="0"/>
                    <w:widowControl/>
                    <w:suppressLineNumbers w:val="0"/>
                    <w:jc w:val="center"/>
                    <w:textAlignment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ascii="Times New Roman" w:hAnsi="Times New Roman" w:eastAsia="宋体" w:cs="宋体"/>
                      <w:b w:val="0"/>
                      <w:bCs w:val="0"/>
                      <w:color w:val="auto"/>
                      <w:sz w:val="21"/>
                      <w:szCs w:val="21"/>
                      <w:highlight w:val="none"/>
                      <w:lang w:val="en-US" w:eastAsia="zh-CN"/>
                    </w:rPr>
                    <w:t>利旧</w:t>
                  </w:r>
                </w:p>
              </w:tc>
            </w:tr>
            <w:tr w14:paraId="6F8B55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5" w:type="pct"/>
                  <w:tcBorders>
                    <w:tl2br w:val="nil"/>
                    <w:tr2bl w:val="nil"/>
                  </w:tcBorders>
                  <w:vAlign w:val="center"/>
                </w:tcPr>
                <w:p w14:paraId="73562185">
                  <w:pPr>
                    <w:pStyle w:val="271"/>
                    <w:ind w:left="525" w:leftChars="50" w:right="105" w:rightChars="50" w:hanging="420" w:hangingChars="200"/>
                    <w:contextualSpacing/>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5</w:t>
                  </w:r>
                </w:p>
              </w:tc>
              <w:tc>
                <w:tcPr>
                  <w:tcW w:w="1566" w:type="pct"/>
                  <w:tcBorders>
                    <w:tl2br w:val="nil"/>
                    <w:tr2bl w:val="nil"/>
                  </w:tcBorders>
                  <w:vAlign w:val="center"/>
                </w:tcPr>
                <w:p w14:paraId="504C2245">
                  <w:pPr>
                    <w:pStyle w:val="271"/>
                    <w:ind w:left="525" w:leftChars="50" w:right="105" w:rightChars="50"/>
                    <w:contextualSpacing/>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lang w:val="en-US" w:eastAsia="zh-CN"/>
                    </w:rPr>
                    <w:t>旋风除尘器</w:t>
                  </w:r>
                </w:p>
              </w:tc>
              <w:tc>
                <w:tcPr>
                  <w:tcW w:w="1299" w:type="pct"/>
                  <w:gridSpan w:val="2"/>
                  <w:tcBorders>
                    <w:tl2br w:val="nil"/>
                    <w:tr2bl w:val="nil"/>
                  </w:tcBorders>
                  <w:vAlign w:val="center"/>
                </w:tcPr>
                <w:p w14:paraId="6B0C2B21">
                  <w:pPr>
                    <w:jc w:val="center"/>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w:t>
                  </w:r>
                </w:p>
              </w:tc>
              <w:tc>
                <w:tcPr>
                  <w:tcW w:w="819" w:type="pct"/>
                  <w:tcBorders>
                    <w:tl2br w:val="nil"/>
                    <w:tr2bl w:val="nil"/>
                  </w:tcBorders>
                  <w:vAlign w:val="center"/>
                </w:tcPr>
                <w:p w14:paraId="257F304D">
                  <w:pPr>
                    <w:keepNext w:val="0"/>
                    <w:keepLines w:val="0"/>
                    <w:widowControl/>
                    <w:suppressLineNumbers w:val="0"/>
                    <w:jc w:val="center"/>
                    <w:textAlignment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ascii="Times New Roman" w:hAnsi="Times New Roman" w:eastAsia="宋体" w:cs="宋体"/>
                      <w:b w:val="0"/>
                      <w:bCs w:val="0"/>
                      <w:color w:val="auto"/>
                      <w:kern w:val="2"/>
                      <w:sz w:val="21"/>
                      <w:szCs w:val="21"/>
                      <w:highlight w:val="none"/>
                      <w:lang w:val="en-US" w:eastAsia="zh-CN" w:bidi="ar-SA"/>
                    </w:rPr>
                    <w:t>1个</w:t>
                  </w:r>
                </w:p>
              </w:tc>
              <w:tc>
                <w:tcPr>
                  <w:tcW w:w="819" w:type="pct"/>
                  <w:tcBorders>
                    <w:tl2br w:val="nil"/>
                    <w:tr2bl w:val="nil"/>
                  </w:tcBorders>
                  <w:vAlign w:val="center"/>
                </w:tcPr>
                <w:p w14:paraId="66F82619">
                  <w:pPr>
                    <w:keepNext w:val="0"/>
                    <w:keepLines w:val="0"/>
                    <w:widowControl/>
                    <w:suppressLineNumbers w:val="0"/>
                    <w:jc w:val="center"/>
                    <w:textAlignment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ascii="Times New Roman" w:hAnsi="Times New Roman" w:eastAsia="宋体" w:cs="宋体"/>
                      <w:b w:val="0"/>
                      <w:bCs w:val="0"/>
                      <w:color w:val="auto"/>
                      <w:sz w:val="21"/>
                      <w:szCs w:val="21"/>
                      <w:highlight w:val="none"/>
                      <w:lang w:val="en-US" w:eastAsia="zh-CN"/>
                    </w:rPr>
                    <w:t>利旧</w:t>
                  </w:r>
                </w:p>
              </w:tc>
            </w:tr>
            <w:tr w14:paraId="13175B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5" w:type="pct"/>
                  <w:tcBorders>
                    <w:tl2br w:val="nil"/>
                    <w:tr2bl w:val="nil"/>
                  </w:tcBorders>
                  <w:shd w:val="clear" w:color="auto" w:fill="auto"/>
                  <w:vAlign w:val="center"/>
                </w:tcPr>
                <w:p w14:paraId="69E36306">
                  <w:pPr>
                    <w:pStyle w:val="271"/>
                    <w:ind w:left="525" w:leftChars="50" w:right="105" w:rightChars="50" w:hanging="420" w:hangingChars="200"/>
                    <w:contextualSpacing/>
                    <w:rPr>
                      <w:rFonts w:hint="eastAsia" w:ascii="Times New Roman" w:hAnsi="Times New Roman" w:eastAsia="宋体" w:cs="宋体"/>
                      <w:b w:val="0"/>
                      <w:bCs w:val="0"/>
                      <w:color w:val="auto"/>
                      <w:kern w:val="44"/>
                      <w:sz w:val="21"/>
                      <w:szCs w:val="21"/>
                      <w:highlight w:val="none"/>
                      <w:lang w:val="en-US" w:eastAsia="zh-CN" w:bidi="ar-SA"/>
                    </w:rPr>
                  </w:pPr>
                  <w:r>
                    <w:rPr>
                      <w:rFonts w:hint="eastAsia" w:ascii="Times New Roman" w:hAnsi="Times New Roman" w:eastAsia="宋体" w:cs="宋体"/>
                      <w:b w:val="0"/>
                      <w:bCs w:val="0"/>
                      <w:color w:val="auto"/>
                      <w:sz w:val="21"/>
                      <w:szCs w:val="21"/>
                      <w:highlight w:val="none"/>
                      <w:lang w:val="en-US" w:eastAsia="zh-CN"/>
                    </w:rPr>
                    <w:t>6</w:t>
                  </w:r>
                </w:p>
              </w:tc>
              <w:tc>
                <w:tcPr>
                  <w:tcW w:w="1566" w:type="pct"/>
                  <w:tcBorders>
                    <w:tl2br w:val="nil"/>
                    <w:tr2bl w:val="nil"/>
                  </w:tcBorders>
                  <w:vAlign w:val="center"/>
                </w:tcPr>
                <w:p w14:paraId="5B687D53">
                  <w:pPr>
                    <w:pStyle w:val="271"/>
                    <w:ind w:left="525" w:leftChars="50" w:right="105" w:rightChars="50"/>
                    <w:contextualSpacing/>
                    <w:rPr>
                      <w:rFonts w:hint="eastAsia" w:ascii="Times New Roman" w:hAnsi="Times New Roman" w:eastAsia="宋体" w:cs="宋体"/>
                      <w:b w:val="0"/>
                      <w:bCs w:val="0"/>
                      <w:color w:val="auto"/>
                      <w:sz w:val="21"/>
                      <w:szCs w:val="21"/>
                      <w:highlight w:val="none"/>
                    </w:rPr>
                  </w:pPr>
                  <w:r>
                    <w:rPr>
                      <w:rFonts w:hint="eastAsia" w:ascii="Times New Roman" w:hAnsi="Times New Roman" w:eastAsia="宋体" w:cs="宋体"/>
                      <w:b w:val="0"/>
                      <w:bCs w:val="0"/>
                      <w:color w:val="auto"/>
                      <w:sz w:val="21"/>
                      <w:szCs w:val="21"/>
                      <w:highlight w:val="none"/>
                      <w:lang w:val="en-US" w:eastAsia="zh-CN"/>
                    </w:rPr>
                    <w:t>布袋除尘器</w:t>
                  </w:r>
                </w:p>
              </w:tc>
              <w:tc>
                <w:tcPr>
                  <w:tcW w:w="1299" w:type="pct"/>
                  <w:gridSpan w:val="2"/>
                  <w:tcBorders>
                    <w:tl2br w:val="nil"/>
                    <w:tr2bl w:val="nil"/>
                  </w:tcBorders>
                  <w:vAlign w:val="center"/>
                </w:tcPr>
                <w:p w14:paraId="2A7C6FB7">
                  <w:pPr>
                    <w:jc w:val="center"/>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w:t>
                  </w:r>
                </w:p>
              </w:tc>
              <w:tc>
                <w:tcPr>
                  <w:tcW w:w="819" w:type="pct"/>
                  <w:tcBorders>
                    <w:tl2br w:val="nil"/>
                    <w:tr2bl w:val="nil"/>
                  </w:tcBorders>
                  <w:vAlign w:val="center"/>
                </w:tcPr>
                <w:p w14:paraId="50315BE2">
                  <w:pPr>
                    <w:keepNext w:val="0"/>
                    <w:keepLines w:val="0"/>
                    <w:widowControl/>
                    <w:suppressLineNumbers w:val="0"/>
                    <w:jc w:val="center"/>
                    <w:textAlignment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ascii="Times New Roman" w:hAnsi="Times New Roman" w:eastAsia="宋体" w:cs="宋体"/>
                      <w:b w:val="0"/>
                      <w:bCs w:val="0"/>
                      <w:color w:val="auto"/>
                      <w:kern w:val="2"/>
                      <w:sz w:val="21"/>
                      <w:szCs w:val="21"/>
                      <w:highlight w:val="none"/>
                      <w:lang w:val="en-US" w:eastAsia="zh-CN" w:bidi="ar-SA"/>
                    </w:rPr>
                    <w:t>1个</w:t>
                  </w:r>
                </w:p>
              </w:tc>
              <w:tc>
                <w:tcPr>
                  <w:tcW w:w="819" w:type="pct"/>
                  <w:tcBorders>
                    <w:tl2br w:val="nil"/>
                    <w:tr2bl w:val="nil"/>
                  </w:tcBorders>
                  <w:vAlign w:val="center"/>
                </w:tcPr>
                <w:p w14:paraId="5D6611F1">
                  <w:pPr>
                    <w:keepNext w:val="0"/>
                    <w:keepLines w:val="0"/>
                    <w:widowControl/>
                    <w:suppressLineNumbers w:val="0"/>
                    <w:jc w:val="center"/>
                    <w:textAlignment w:val="center"/>
                    <w:rPr>
                      <w:rFonts w:hint="eastAsia" w:ascii="Times New Roman" w:hAnsi="Times New Roman" w:eastAsia="宋体" w:cs="宋体"/>
                      <w:b w:val="0"/>
                      <w:bCs w:val="0"/>
                      <w:color w:val="auto"/>
                      <w:kern w:val="2"/>
                      <w:sz w:val="21"/>
                      <w:szCs w:val="21"/>
                      <w:highlight w:val="none"/>
                      <w:lang w:val="en-US" w:eastAsia="zh-CN" w:bidi="ar-SA"/>
                    </w:rPr>
                  </w:pPr>
                  <w:r>
                    <w:rPr>
                      <w:rFonts w:hint="eastAsia" w:ascii="Times New Roman" w:hAnsi="Times New Roman" w:eastAsia="宋体" w:cs="宋体"/>
                      <w:b w:val="0"/>
                      <w:bCs w:val="0"/>
                      <w:color w:val="auto"/>
                      <w:sz w:val="21"/>
                      <w:szCs w:val="21"/>
                      <w:highlight w:val="none"/>
                      <w:lang w:val="en-US" w:eastAsia="zh-CN"/>
                    </w:rPr>
                    <w:t>利旧</w:t>
                  </w:r>
                </w:p>
              </w:tc>
            </w:tr>
            <w:tr w14:paraId="60C09A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95" w:type="pct"/>
                  <w:tcBorders>
                    <w:tl2br w:val="nil"/>
                    <w:tr2bl w:val="nil"/>
                  </w:tcBorders>
                  <w:shd w:val="clear" w:color="auto" w:fill="auto"/>
                  <w:vAlign w:val="center"/>
                </w:tcPr>
                <w:p w14:paraId="1FB66804">
                  <w:pPr>
                    <w:pStyle w:val="271"/>
                    <w:ind w:left="525" w:leftChars="50" w:right="105" w:rightChars="50" w:hanging="420" w:hangingChars="200"/>
                    <w:contextualSpacing/>
                    <w:rPr>
                      <w:rFonts w:hint="eastAsia"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rPr>
                    <w:t>7</w:t>
                  </w:r>
                </w:p>
              </w:tc>
              <w:tc>
                <w:tcPr>
                  <w:tcW w:w="1566" w:type="pct"/>
                  <w:tcBorders>
                    <w:tl2br w:val="nil"/>
                    <w:tr2bl w:val="nil"/>
                  </w:tcBorders>
                  <w:vAlign w:val="center"/>
                </w:tcPr>
                <w:p w14:paraId="65A032E5">
                  <w:pPr>
                    <w:pStyle w:val="271"/>
                    <w:ind w:left="525" w:leftChars="50" w:right="105" w:rightChars="50"/>
                    <w:contextualSpacing/>
                    <w:rPr>
                      <w:rFonts w:hint="default" w:ascii="Times New Roman" w:hAnsi="Times New Roman" w:eastAsia="宋体" w:cs="宋体"/>
                      <w:b w:val="0"/>
                      <w:bCs w:val="0"/>
                      <w:color w:val="auto"/>
                      <w:sz w:val="21"/>
                      <w:szCs w:val="21"/>
                      <w:highlight w:val="none"/>
                      <w:lang w:val="en-US" w:eastAsia="zh-CN"/>
                    </w:rPr>
                  </w:pPr>
                  <w:r>
                    <w:rPr>
                      <w:rFonts w:hint="eastAsia" w:ascii="Times New Roman" w:hAnsi="Times New Roman" w:eastAsia="宋体" w:cs="宋体"/>
                      <w:b w:val="0"/>
                      <w:bCs w:val="0"/>
                      <w:color w:val="auto"/>
                      <w:sz w:val="21"/>
                      <w:szCs w:val="21"/>
                      <w:highlight w:val="none"/>
                      <w:lang w:val="en-US" w:eastAsia="zh-CN"/>
                    </w:rPr>
                    <w:t>水泵</w:t>
                  </w:r>
                </w:p>
              </w:tc>
              <w:tc>
                <w:tcPr>
                  <w:tcW w:w="1299" w:type="pct"/>
                  <w:gridSpan w:val="2"/>
                  <w:tcBorders>
                    <w:tl2br w:val="nil"/>
                    <w:tr2bl w:val="nil"/>
                  </w:tcBorders>
                  <w:vAlign w:val="center"/>
                </w:tcPr>
                <w:p w14:paraId="013375F1">
                  <w:pPr>
                    <w:jc w:val="center"/>
                    <w:rPr>
                      <w:rFonts w:hint="default" w:ascii="Times New Roman" w:hAnsi="Times New Roman" w:eastAsia="宋体" w:cs="宋体"/>
                      <w:b w:val="0"/>
                      <w:bCs w:val="0"/>
                      <w:color w:val="auto"/>
                      <w:sz w:val="21"/>
                      <w:szCs w:val="21"/>
                      <w:highlight w:val="none"/>
                      <w:lang w:val="en-US" w:eastAsia="zh-CN"/>
                    </w:rPr>
                  </w:pPr>
                  <w:r>
                    <w:rPr>
                      <w:rFonts w:hint="eastAsia" w:cs="宋体"/>
                      <w:b w:val="0"/>
                      <w:bCs w:val="0"/>
                      <w:color w:val="auto"/>
                      <w:sz w:val="21"/>
                      <w:szCs w:val="21"/>
                      <w:highlight w:val="none"/>
                      <w:lang w:val="en-US" w:eastAsia="zh-CN"/>
                    </w:rPr>
                    <w:t>/</w:t>
                  </w:r>
                </w:p>
              </w:tc>
              <w:tc>
                <w:tcPr>
                  <w:tcW w:w="819" w:type="pct"/>
                  <w:tcBorders>
                    <w:tl2br w:val="nil"/>
                    <w:tr2bl w:val="nil"/>
                  </w:tcBorders>
                  <w:vAlign w:val="center"/>
                </w:tcPr>
                <w:p w14:paraId="58AC13E8">
                  <w:pPr>
                    <w:keepNext w:val="0"/>
                    <w:keepLines w:val="0"/>
                    <w:widowControl/>
                    <w:suppressLineNumbers w:val="0"/>
                    <w:jc w:val="center"/>
                    <w:textAlignment w:val="center"/>
                    <w:rPr>
                      <w:rFonts w:hint="default" w:ascii="Times New Roman" w:hAnsi="Times New Roman" w:eastAsia="宋体" w:cs="宋体"/>
                      <w:b w:val="0"/>
                      <w:bCs w:val="0"/>
                      <w:color w:val="auto"/>
                      <w:kern w:val="2"/>
                      <w:sz w:val="21"/>
                      <w:szCs w:val="21"/>
                      <w:highlight w:val="none"/>
                      <w:lang w:val="en-US" w:eastAsia="zh-CN" w:bidi="ar-SA"/>
                    </w:rPr>
                  </w:pPr>
                  <w:r>
                    <w:rPr>
                      <w:rFonts w:hint="eastAsia" w:cs="宋体"/>
                      <w:b w:val="0"/>
                      <w:bCs w:val="0"/>
                      <w:color w:val="auto"/>
                      <w:kern w:val="2"/>
                      <w:sz w:val="21"/>
                      <w:szCs w:val="21"/>
                      <w:highlight w:val="none"/>
                      <w:lang w:val="en-US" w:eastAsia="zh-CN" w:bidi="ar-SA"/>
                    </w:rPr>
                    <w:t>1个</w:t>
                  </w:r>
                </w:p>
              </w:tc>
              <w:tc>
                <w:tcPr>
                  <w:tcW w:w="819" w:type="pct"/>
                  <w:tcBorders>
                    <w:tl2br w:val="nil"/>
                    <w:tr2bl w:val="nil"/>
                  </w:tcBorders>
                  <w:vAlign w:val="center"/>
                </w:tcPr>
                <w:p w14:paraId="13FB9AC1">
                  <w:pPr>
                    <w:keepNext w:val="0"/>
                    <w:keepLines w:val="0"/>
                    <w:widowControl/>
                    <w:suppressLineNumbers w:val="0"/>
                    <w:jc w:val="center"/>
                    <w:textAlignment w:val="center"/>
                    <w:rPr>
                      <w:rFonts w:hint="default" w:ascii="Times New Roman" w:hAnsi="Times New Roman" w:eastAsia="宋体" w:cs="宋体"/>
                      <w:b w:val="0"/>
                      <w:bCs w:val="0"/>
                      <w:color w:val="auto"/>
                      <w:sz w:val="21"/>
                      <w:szCs w:val="21"/>
                      <w:highlight w:val="none"/>
                      <w:lang w:val="en-US" w:eastAsia="zh-CN"/>
                    </w:rPr>
                  </w:pPr>
                  <w:r>
                    <w:rPr>
                      <w:rFonts w:hint="eastAsia" w:cs="宋体"/>
                      <w:b w:val="0"/>
                      <w:bCs w:val="0"/>
                      <w:color w:val="auto"/>
                      <w:sz w:val="21"/>
                      <w:szCs w:val="21"/>
                      <w:highlight w:val="none"/>
                      <w:lang w:val="en-US" w:eastAsia="zh-CN"/>
                    </w:rPr>
                    <w:t>利旧</w:t>
                  </w:r>
                </w:p>
              </w:tc>
            </w:tr>
          </w:tbl>
          <w:p w14:paraId="2CF446F0">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b/>
                <w:bCs/>
                <w:color w:val="auto"/>
                <w:sz w:val="21"/>
                <w:highlight w:val="none"/>
                <w:lang w:val="en-US" w:eastAsia="zh-CN"/>
              </w:rPr>
            </w:pPr>
            <w:r>
              <w:rPr>
                <w:rFonts w:hint="eastAsia" w:ascii="Times New Roman" w:hAnsi="Times New Roman" w:eastAsia="宋体" w:cs="宋体"/>
                <w:b/>
                <w:bCs/>
                <w:color w:val="auto"/>
                <w:sz w:val="21"/>
                <w:highlight w:val="none"/>
                <w:lang w:val="en-US" w:eastAsia="zh-CN"/>
              </w:rPr>
              <w:t>4、公用工程</w:t>
            </w:r>
          </w:p>
          <w:p w14:paraId="63CD7C0F">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rPr>
              <w:t>（1）给水</w:t>
            </w:r>
          </w:p>
          <w:p w14:paraId="03AAFE2F">
            <w:pPr>
              <w:adjustRightInd w:val="0"/>
              <w:snapToGrid w:val="0"/>
              <w:spacing w:line="360" w:lineRule="auto"/>
              <w:ind w:firstLine="420" w:firstLineChars="200"/>
              <w:rPr>
                <w:rFonts w:hint="default" w:ascii="Times New Roman" w:hAnsi="Times New Roman" w:cs="Times New Roman"/>
                <w:color w:val="auto"/>
              </w:rPr>
            </w:pPr>
            <w:r>
              <w:rPr>
                <w:rFonts w:hint="default" w:ascii="Times New Roman" w:hAnsi="Times New Roman" w:cs="Times New Roman"/>
                <w:color w:val="auto"/>
              </w:rPr>
              <w:t>①生活用水</w:t>
            </w:r>
          </w:p>
          <w:p w14:paraId="5B352246">
            <w:pPr>
              <w:adjustRightInd w:val="0"/>
              <w:snapToGrid w:val="0"/>
              <w:spacing w:line="360" w:lineRule="auto"/>
              <w:ind w:firstLine="420" w:firstLineChars="200"/>
              <w:rPr>
                <w:rFonts w:hint="default" w:ascii="Times New Roman" w:hAnsi="Times New Roman" w:cs="Times New Roman"/>
                <w:color w:val="auto"/>
              </w:rPr>
            </w:pPr>
            <w:r>
              <w:rPr>
                <w:rFonts w:hint="default" w:ascii="Times New Roman" w:hAnsi="Times New Roman" w:cs="Times New Roman"/>
                <w:color w:val="auto"/>
              </w:rPr>
              <w:t>本项目所需员工在企业内调配，无新增员工，无新增生活污水。</w:t>
            </w:r>
          </w:p>
          <w:p w14:paraId="4E9AA244">
            <w:pPr>
              <w:spacing w:line="360" w:lineRule="auto"/>
              <w:ind w:firstLine="420" w:firstLineChars="200"/>
              <w:contextualSpacing/>
              <w:rPr>
                <w:rFonts w:hint="eastAsia" w:ascii="Times New Roman" w:hAnsi="Times New Roman" w:eastAsia="宋体" w:cs="宋体"/>
                <w:color w:val="auto"/>
                <w:sz w:val="21"/>
                <w:highlight w:val="none"/>
              </w:rPr>
            </w:pPr>
            <w:r>
              <w:rPr>
                <w:rFonts w:hint="eastAsia" w:ascii="宋体" w:hAnsi="宋体" w:eastAsia="宋体" w:cs="宋体"/>
                <w:color w:val="auto"/>
                <w:sz w:val="21"/>
                <w:highlight w:val="none"/>
              </w:rPr>
              <w:t>②</w:t>
            </w:r>
            <w:r>
              <w:rPr>
                <w:rFonts w:hint="eastAsia" w:ascii="Times New Roman" w:hAnsi="Times New Roman" w:eastAsia="宋体" w:cs="宋体"/>
                <w:color w:val="auto"/>
                <w:sz w:val="21"/>
                <w:highlight w:val="none"/>
              </w:rPr>
              <w:t>锅炉用水</w:t>
            </w:r>
          </w:p>
          <w:p w14:paraId="1BB62B98">
            <w:pPr>
              <w:spacing w:line="360" w:lineRule="auto"/>
              <w:ind w:firstLine="420" w:firstLineChars="200"/>
              <w:contextualSpacing/>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bCs/>
                <w:color w:val="auto"/>
                <w:sz w:val="21"/>
                <w:highlight w:val="none"/>
              </w:rPr>
              <w:t>根据</w:t>
            </w:r>
            <w:r>
              <w:rPr>
                <w:rFonts w:hint="eastAsia" w:ascii="Times New Roman" w:hAnsi="Times New Roman" w:eastAsia="宋体" w:cs="宋体"/>
                <w:color w:val="auto"/>
                <w:sz w:val="21"/>
                <w:highlight w:val="none"/>
              </w:rPr>
              <w:t>《</w:t>
            </w:r>
            <w:r>
              <w:rPr>
                <w:rFonts w:hint="eastAsia" w:ascii="Times New Roman" w:hAnsi="Times New Roman" w:eastAsia="宋体" w:cs="宋体"/>
                <w:bCs/>
                <w:color w:val="auto"/>
                <w:sz w:val="21"/>
                <w:highlight w:val="none"/>
              </w:rPr>
              <w:t>排放源统计调查产排污核算方法和系数手册</w:t>
            </w:r>
            <w:r>
              <w:rPr>
                <w:rFonts w:hint="eastAsia" w:ascii="Times New Roman" w:hAnsi="Times New Roman" w:eastAsia="宋体" w:cs="宋体"/>
                <w:color w:val="auto"/>
                <w:sz w:val="21"/>
                <w:highlight w:val="none"/>
              </w:rPr>
              <w:t>》</w:t>
            </w:r>
            <w:r>
              <w:rPr>
                <w:rFonts w:hint="eastAsia" w:ascii="Times New Roman" w:hAnsi="Times New Roman" w:eastAsia="宋体" w:cs="宋体"/>
                <w:bCs/>
                <w:color w:val="auto"/>
                <w:sz w:val="21"/>
                <w:highlight w:val="none"/>
              </w:rPr>
              <w:t>工业锅炉（热力生产和供应行业）产排污系数生物质锅炉锅外水处理软化处理废水及锅炉定排水产污系数为0.356吨/吨-原料，生物质</w:t>
            </w:r>
            <w:r>
              <w:rPr>
                <w:rFonts w:hint="eastAsia" w:ascii="Times New Roman" w:hAnsi="Times New Roman" w:eastAsia="宋体" w:cs="宋体"/>
                <w:bCs/>
                <w:color w:val="auto"/>
                <w:sz w:val="21"/>
                <w:highlight w:val="none"/>
                <w:lang w:val="en-US" w:eastAsia="zh-CN"/>
              </w:rPr>
              <w:t>燃料使用量</w:t>
            </w:r>
            <w:r>
              <w:rPr>
                <w:rFonts w:hint="eastAsia" w:ascii="Times New Roman" w:hAnsi="Times New Roman" w:eastAsia="宋体" w:cs="宋体"/>
                <w:bCs/>
                <w:color w:val="auto"/>
                <w:sz w:val="21"/>
                <w:highlight w:val="none"/>
              </w:rPr>
              <w:t>为</w:t>
            </w:r>
            <w:r>
              <w:rPr>
                <w:rFonts w:hint="eastAsia" w:ascii="Times New Roman" w:hAnsi="Times New Roman" w:eastAsia="宋体" w:cs="宋体"/>
                <w:color w:val="auto"/>
                <w:sz w:val="21"/>
                <w:szCs w:val="24"/>
                <w:highlight w:val="none"/>
                <w:lang w:val="en-US" w:eastAsia="zh-CN"/>
              </w:rPr>
              <w:t>3</w:t>
            </w:r>
            <w:r>
              <w:rPr>
                <w:rFonts w:hint="eastAsia" w:cs="宋体"/>
                <w:color w:val="auto"/>
                <w:sz w:val="21"/>
                <w:szCs w:val="24"/>
                <w:highlight w:val="none"/>
                <w:lang w:val="en-US" w:eastAsia="zh-CN"/>
              </w:rPr>
              <w:t>608.77</w:t>
            </w:r>
            <w:r>
              <w:rPr>
                <w:rFonts w:hint="eastAsia" w:ascii="Times New Roman" w:hAnsi="Times New Roman" w:eastAsia="宋体" w:cs="宋体"/>
                <w:bCs/>
                <w:color w:val="auto"/>
                <w:sz w:val="21"/>
                <w:highlight w:val="none"/>
              </w:rPr>
              <w:t>t/a，</w:t>
            </w:r>
            <w:r>
              <w:rPr>
                <w:rFonts w:hint="eastAsia" w:ascii="Times New Roman" w:hAnsi="Times New Roman" w:eastAsia="宋体" w:cs="宋体"/>
                <w:color w:val="auto"/>
                <w:sz w:val="21"/>
                <w:szCs w:val="24"/>
                <w:highlight w:val="none"/>
                <w:lang w:val="en-US" w:eastAsia="zh-CN"/>
              </w:rPr>
              <w:t>锅炉用水来自软化水制备系统，</w:t>
            </w:r>
            <w:r>
              <w:rPr>
                <w:rFonts w:hint="eastAsia" w:ascii="Times New Roman" w:hAnsi="Times New Roman" w:eastAsia="宋体" w:cs="宋体"/>
                <w:bCs/>
                <w:color w:val="auto"/>
                <w:sz w:val="21"/>
                <w:highlight w:val="none"/>
              </w:rPr>
              <w:t>经计算</w:t>
            </w:r>
            <w:r>
              <w:rPr>
                <w:rFonts w:hint="eastAsia" w:ascii="Times New Roman" w:hAnsi="Times New Roman" w:eastAsia="宋体" w:cs="宋体"/>
                <w:color w:val="auto"/>
                <w:kern w:val="0"/>
                <w:sz w:val="21"/>
                <w:highlight w:val="none"/>
              </w:rPr>
              <w:t>软化处理废水及锅炉排污水</w:t>
            </w:r>
            <w:r>
              <w:rPr>
                <w:rFonts w:hint="eastAsia" w:ascii="Times New Roman" w:hAnsi="Times New Roman" w:eastAsia="宋体" w:cs="宋体"/>
                <w:bCs/>
                <w:color w:val="auto"/>
                <w:sz w:val="21"/>
                <w:highlight w:val="none"/>
              </w:rPr>
              <w:t>废水量为</w:t>
            </w:r>
            <w:r>
              <w:rPr>
                <w:rFonts w:hint="eastAsia" w:cs="宋体"/>
                <w:bCs/>
                <w:color w:val="auto"/>
                <w:sz w:val="21"/>
                <w:highlight w:val="none"/>
                <w:lang w:val="en-US" w:eastAsia="zh-CN"/>
              </w:rPr>
              <w:t>7.14</w:t>
            </w:r>
            <w:r>
              <w:rPr>
                <w:rFonts w:hint="eastAsia" w:ascii="Times New Roman" w:hAnsi="Times New Roman" w:eastAsia="宋体" w:cs="宋体"/>
                <w:bCs/>
                <w:color w:val="auto"/>
                <w:sz w:val="21"/>
                <w:highlight w:val="none"/>
              </w:rPr>
              <w:t>t/d</w:t>
            </w:r>
            <w:r>
              <w:rPr>
                <w:rFonts w:hint="eastAsia" w:ascii="Times New Roman" w:hAnsi="Times New Roman" w:eastAsia="宋体" w:cs="宋体"/>
                <w:bCs/>
                <w:color w:val="auto"/>
                <w:sz w:val="21"/>
                <w:highlight w:val="none"/>
                <w:lang w:eastAsia="zh-CN"/>
              </w:rPr>
              <w:t>（</w:t>
            </w:r>
            <w:r>
              <w:rPr>
                <w:rFonts w:hint="eastAsia" w:cs="宋体"/>
                <w:bCs/>
                <w:color w:val="auto"/>
                <w:sz w:val="21"/>
                <w:highlight w:val="none"/>
                <w:lang w:val="en-US" w:eastAsia="zh-CN"/>
              </w:rPr>
              <w:t>1248.72</w:t>
            </w:r>
            <w:r>
              <w:rPr>
                <w:rFonts w:hint="eastAsia" w:ascii="Times New Roman" w:hAnsi="Times New Roman" w:eastAsia="宋体" w:cs="宋体"/>
                <w:bCs/>
                <w:color w:val="auto"/>
                <w:sz w:val="21"/>
                <w:highlight w:val="none"/>
              </w:rPr>
              <w:t>t/a</w:t>
            </w:r>
            <w:r>
              <w:rPr>
                <w:rFonts w:hint="eastAsia" w:ascii="Times New Roman" w:hAnsi="Times New Roman" w:eastAsia="宋体" w:cs="宋体"/>
                <w:bCs/>
                <w:color w:val="auto"/>
                <w:sz w:val="21"/>
                <w:highlight w:val="none"/>
                <w:lang w:eastAsia="zh-CN"/>
              </w:rPr>
              <w:t>），</w:t>
            </w:r>
            <w:r>
              <w:rPr>
                <w:rFonts w:hint="eastAsia" w:ascii="Times New Roman" w:hAnsi="Times New Roman" w:eastAsia="宋体" w:cs="宋体"/>
                <w:color w:val="auto"/>
                <w:sz w:val="21"/>
                <w:szCs w:val="24"/>
                <w:highlight w:val="none"/>
                <w:lang w:val="en-US" w:eastAsia="zh-CN"/>
              </w:rPr>
              <w:t>因此本项目燃生物质锅炉新鲜用水量为</w:t>
            </w:r>
            <w:r>
              <w:rPr>
                <w:rFonts w:hint="eastAsia" w:cs="宋体"/>
                <w:bCs/>
                <w:color w:val="auto"/>
                <w:sz w:val="21"/>
                <w:highlight w:val="none"/>
                <w:lang w:val="en-US" w:eastAsia="zh-CN"/>
              </w:rPr>
              <w:t>7.14</w:t>
            </w:r>
            <w:r>
              <w:rPr>
                <w:rFonts w:hint="eastAsia" w:ascii="Times New Roman" w:hAnsi="Times New Roman" w:eastAsia="宋体" w:cs="宋体"/>
                <w:bCs/>
                <w:color w:val="auto"/>
                <w:sz w:val="21"/>
                <w:highlight w:val="none"/>
              </w:rPr>
              <w:t>t/d</w:t>
            </w:r>
            <w:r>
              <w:rPr>
                <w:rFonts w:hint="eastAsia" w:ascii="Times New Roman" w:hAnsi="Times New Roman" w:eastAsia="宋体" w:cs="宋体"/>
                <w:bCs/>
                <w:color w:val="auto"/>
                <w:sz w:val="21"/>
                <w:highlight w:val="none"/>
                <w:lang w:eastAsia="zh-CN"/>
              </w:rPr>
              <w:t>（</w:t>
            </w:r>
            <w:r>
              <w:rPr>
                <w:rFonts w:hint="eastAsia" w:cs="宋体"/>
                <w:bCs/>
                <w:color w:val="auto"/>
                <w:sz w:val="21"/>
                <w:highlight w:val="none"/>
                <w:lang w:val="en-US" w:eastAsia="zh-CN"/>
              </w:rPr>
              <w:t>1248.72</w:t>
            </w:r>
            <w:r>
              <w:rPr>
                <w:rFonts w:hint="eastAsia" w:ascii="Times New Roman" w:hAnsi="Times New Roman" w:eastAsia="宋体" w:cs="宋体"/>
                <w:bCs/>
                <w:color w:val="auto"/>
                <w:sz w:val="21"/>
                <w:highlight w:val="none"/>
              </w:rPr>
              <w:t>t/a</w:t>
            </w:r>
            <w:r>
              <w:rPr>
                <w:rFonts w:hint="eastAsia" w:ascii="Times New Roman" w:hAnsi="Times New Roman" w:eastAsia="宋体" w:cs="宋体"/>
                <w:bCs/>
                <w:color w:val="auto"/>
                <w:sz w:val="21"/>
                <w:highlight w:val="none"/>
                <w:lang w:eastAsia="zh-CN"/>
              </w:rPr>
              <w:t>）</w:t>
            </w:r>
            <w:r>
              <w:rPr>
                <w:rFonts w:hint="eastAsia" w:ascii="Times New Roman" w:hAnsi="Times New Roman" w:eastAsia="宋体" w:cs="宋体"/>
                <w:color w:val="auto"/>
                <w:sz w:val="21"/>
                <w:szCs w:val="24"/>
                <w:highlight w:val="none"/>
                <w:lang w:val="en-US" w:eastAsia="zh-CN"/>
              </w:rPr>
              <w:t>。</w:t>
            </w:r>
          </w:p>
          <w:p w14:paraId="31FF9E33">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rPr>
              <w:t>（2）排水</w:t>
            </w:r>
          </w:p>
          <w:p w14:paraId="259047BB">
            <w:pPr>
              <w:spacing w:line="360" w:lineRule="auto"/>
              <w:ind w:firstLine="420" w:firstLineChars="200"/>
              <w:contextualSpacing/>
              <w:rPr>
                <w:rFonts w:hint="eastAsia" w:ascii="Times New Roman" w:hAnsi="Times New Roman" w:eastAsia="宋体" w:cs="宋体"/>
                <w:bCs/>
                <w:color w:val="auto"/>
                <w:sz w:val="21"/>
                <w:highlight w:val="none"/>
                <w:lang w:eastAsia="zh-CN"/>
              </w:rPr>
            </w:pPr>
            <w:r>
              <w:rPr>
                <w:rFonts w:hint="eastAsia" w:ascii="Times New Roman" w:hAnsi="Times New Roman" w:eastAsia="宋体" w:cs="宋体"/>
                <w:bCs/>
                <w:color w:val="auto"/>
                <w:sz w:val="21"/>
                <w:highlight w:val="none"/>
              </w:rPr>
              <w:t>软化处理废水及锅炉排污水排水量为</w:t>
            </w:r>
            <w:r>
              <w:rPr>
                <w:rFonts w:hint="eastAsia" w:ascii="Times New Roman" w:hAnsi="Times New Roman" w:eastAsia="宋体" w:cs="宋体"/>
                <w:bCs/>
                <w:color w:val="auto"/>
                <w:sz w:val="21"/>
                <w:highlight w:val="none"/>
                <w:lang w:val="en-US" w:eastAsia="zh-CN"/>
              </w:rPr>
              <w:t>7.14</w:t>
            </w:r>
            <w:r>
              <w:rPr>
                <w:rFonts w:hint="eastAsia" w:ascii="Times New Roman" w:hAnsi="Times New Roman" w:eastAsia="宋体" w:cs="宋体"/>
                <w:bCs/>
                <w:color w:val="auto"/>
                <w:sz w:val="21"/>
                <w:highlight w:val="none"/>
              </w:rPr>
              <w:t>t/d</w:t>
            </w:r>
            <w:r>
              <w:rPr>
                <w:rFonts w:hint="eastAsia" w:ascii="Times New Roman" w:hAnsi="Times New Roman" w:eastAsia="宋体" w:cs="宋体"/>
                <w:bCs/>
                <w:color w:val="auto"/>
                <w:sz w:val="21"/>
                <w:highlight w:val="none"/>
                <w:lang w:eastAsia="zh-CN"/>
              </w:rPr>
              <w:t>（</w:t>
            </w:r>
            <w:r>
              <w:rPr>
                <w:rFonts w:hint="eastAsia" w:ascii="Times New Roman" w:hAnsi="Times New Roman" w:eastAsia="宋体" w:cs="宋体"/>
                <w:bCs/>
                <w:color w:val="auto"/>
                <w:sz w:val="21"/>
                <w:highlight w:val="none"/>
                <w:lang w:val="en-US" w:eastAsia="zh-CN"/>
              </w:rPr>
              <w:t>1284.72</w:t>
            </w:r>
            <w:r>
              <w:rPr>
                <w:rFonts w:hint="eastAsia" w:ascii="Times New Roman" w:hAnsi="Times New Roman" w:eastAsia="宋体" w:cs="宋体"/>
                <w:bCs/>
                <w:color w:val="auto"/>
                <w:sz w:val="21"/>
                <w:highlight w:val="none"/>
              </w:rPr>
              <w:t>t/a</w:t>
            </w:r>
            <w:r>
              <w:rPr>
                <w:rFonts w:hint="eastAsia" w:ascii="Times New Roman" w:hAnsi="Times New Roman" w:eastAsia="宋体" w:cs="宋体"/>
                <w:bCs/>
                <w:color w:val="auto"/>
                <w:sz w:val="21"/>
                <w:highlight w:val="none"/>
                <w:lang w:eastAsia="zh-CN"/>
              </w:rPr>
              <w:t>），</w:t>
            </w:r>
            <w:r>
              <w:rPr>
                <w:rFonts w:hint="default" w:ascii="Times New Roman" w:hAnsi="Times New Roman" w:eastAsia="宋体" w:cs="宋体"/>
                <w:bCs/>
                <w:color w:val="auto"/>
                <w:sz w:val="21"/>
                <w:highlight w:val="none"/>
                <w:lang w:val="en-US" w:eastAsia="zh-CN"/>
              </w:rPr>
              <w:t>其中</w:t>
            </w:r>
            <w:r>
              <w:rPr>
                <w:rFonts w:hint="eastAsia" w:ascii="Times New Roman" w:hAnsi="Times New Roman" w:eastAsia="宋体" w:cs="宋体"/>
                <w:bCs/>
                <w:color w:val="auto"/>
                <w:sz w:val="21"/>
                <w:highlight w:val="none"/>
                <w:lang w:val="en-US" w:eastAsia="zh-CN"/>
              </w:rPr>
              <w:t>0.2</w:t>
            </w:r>
            <w:r>
              <w:rPr>
                <w:rFonts w:hint="default" w:ascii="Times New Roman" w:hAnsi="Times New Roman" w:eastAsia="宋体" w:cs="宋体"/>
                <w:bCs/>
                <w:color w:val="auto"/>
                <w:sz w:val="21"/>
                <w:highlight w:val="none"/>
                <w:lang w:val="en-US" w:eastAsia="zh-CN"/>
              </w:rPr>
              <w:t>t/d（</w:t>
            </w:r>
            <w:r>
              <w:rPr>
                <w:rFonts w:hint="eastAsia" w:ascii="Times New Roman" w:hAnsi="Times New Roman" w:eastAsia="宋体" w:cs="宋体"/>
                <w:bCs/>
                <w:color w:val="auto"/>
                <w:sz w:val="21"/>
                <w:highlight w:val="none"/>
                <w:lang w:val="en-US" w:eastAsia="zh-CN"/>
              </w:rPr>
              <w:t>36</w:t>
            </w:r>
            <w:r>
              <w:rPr>
                <w:rFonts w:hint="default" w:ascii="Times New Roman" w:hAnsi="Times New Roman" w:eastAsia="宋体" w:cs="宋体"/>
                <w:bCs/>
                <w:color w:val="auto"/>
                <w:sz w:val="21"/>
                <w:highlight w:val="none"/>
              </w:rPr>
              <w:t>t/a</w:t>
            </w:r>
            <w:r>
              <w:rPr>
                <w:rFonts w:hint="default" w:ascii="Times New Roman" w:hAnsi="Times New Roman" w:eastAsia="宋体" w:cs="宋体"/>
                <w:bCs/>
                <w:color w:val="auto"/>
                <w:sz w:val="21"/>
                <w:highlight w:val="none"/>
                <w:lang w:val="en-US" w:eastAsia="zh-CN"/>
              </w:rPr>
              <w:t>）用于灰渣、燃料转运、储存过程洒水抑尘用水</w:t>
            </w:r>
            <w:r>
              <w:rPr>
                <w:rFonts w:hint="default" w:ascii="Times New Roman" w:hAnsi="Times New Roman" w:eastAsia="宋体" w:cs="宋体"/>
                <w:bCs/>
                <w:color w:val="auto"/>
                <w:sz w:val="21"/>
                <w:highlight w:val="none"/>
              </w:rPr>
              <w:t>，</w:t>
            </w:r>
            <w:r>
              <w:rPr>
                <w:rFonts w:hint="default" w:ascii="Times New Roman" w:hAnsi="Times New Roman" w:eastAsia="宋体" w:cs="宋体"/>
                <w:bCs/>
                <w:color w:val="auto"/>
                <w:sz w:val="21"/>
                <w:highlight w:val="none"/>
                <w:lang w:val="en-US" w:eastAsia="zh-CN"/>
              </w:rPr>
              <w:t>其余</w:t>
            </w:r>
            <w:r>
              <w:rPr>
                <w:rFonts w:hint="eastAsia" w:ascii="Times New Roman" w:hAnsi="Times New Roman" w:eastAsia="宋体" w:cs="宋体"/>
                <w:bCs/>
                <w:color w:val="auto"/>
                <w:sz w:val="21"/>
                <w:highlight w:val="none"/>
                <w:lang w:val="en-US" w:eastAsia="zh-CN"/>
              </w:rPr>
              <w:t>6.94</w:t>
            </w:r>
            <w:r>
              <w:rPr>
                <w:rFonts w:hint="default" w:ascii="Times New Roman" w:hAnsi="Times New Roman" w:eastAsia="宋体" w:cs="宋体"/>
                <w:bCs/>
                <w:color w:val="auto"/>
                <w:sz w:val="21"/>
                <w:highlight w:val="none"/>
              </w:rPr>
              <w:t>t/d</w:t>
            </w:r>
            <w:r>
              <w:rPr>
                <w:rFonts w:hint="default" w:ascii="Times New Roman" w:hAnsi="Times New Roman" w:eastAsia="宋体" w:cs="宋体"/>
                <w:bCs/>
                <w:color w:val="auto"/>
                <w:sz w:val="21"/>
                <w:highlight w:val="none"/>
                <w:lang w:eastAsia="zh-CN"/>
              </w:rPr>
              <w:t>（</w:t>
            </w:r>
            <w:r>
              <w:rPr>
                <w:rFonts w:hint="eastAsia" w:ascii="Times New Roman" w:hAnsi="Times New Roman" w:eastAsia="宋体" w:cs="宋体"/>
                <w:bCs/>
                <w:color w:val="auto"/>
                <w:sz w:val="21"/>
                <w:highlight w:val="none"/>
                <w:lang w:val="en-US" w:eastAsia="zh-CN"/>
              </w:rPr>
              <w:t>1248.72</w:t>
            </w:r>
            <w:r>
              <w:rPr>
                <w:rFonts w:hint="default" w:ascii="Times New Roman" w:hAnsi="Times New Roman" w:eastAsia="宋体" w:cs="宋体"/>
                <w:bCs/>
                <w:color w:val="auto"/>
                <w:sz w:val="21"/>
                <w:highlight w:val="none"/>
              </w:rPr>
              <w:t>t/a</w:t>
            </w:r>
            <w:r>
              <w:rPr>
                <w:rFonts w:hint="default" w:ascii="Times New Roman" w:hAnsi="Times New Roman" w:eastAsia="宋体" w:cs="宋体"/>
                <w:bCs/>
                <w:color w:val="auto"/>
                <w:sz w:val="21"/>
                <w:highlight w:val="none"/>
                <w:lang w:eastAsia="zh-CN"/>
              </w:rPr>
              <w:t>）</w:t>
            </w:r>
            <w:r>
              <w:rPr>
                <w:rFonts w:hint="eastAsia" w:ascii="Times New Roman" w:hAnsi="Times New Roman" w:eastAsia="宋体" w:cs="宋体"/>
                <w:bCs/>
                <w:color w:val="auto"/>
                <w:sz w:val="21"/>
                <w:highlight w:val="none"/>
                <w:lang w:val="en-US" w:eastAsia="zh-CN"/>
              </w:rPr>
              <w:t>定期拉运至</w:t>
            </w:r>
            <w:r>
              <w:rPr>
                <w:rFonts w:hint="eastAsia" w:ascii="Times New Roman" w:hAnsi="Times New Roman" w:eastAsia="宋体" w:cs="宋体"/>
                <w:bCs/>
                <w:color w:val="auto"/>
                <w:sz w:val="21"/>
                <w:highlight w:val="none"/>
                <w:lang w:eastAsia="zh-CN"/>
              </w:rPr>
              <w:t>铁力市污水处理厂</w:t>
            </w:r>
            <w:r>
              <w:rPr>
                <w:rFonts w:hint="eastAsia" w:ascii="Times New Roman" w:hAnsi="Times New Roman" w:eastAsia="宋体" w:cs="宋体"/>
                <w:bCs/>
                <w:color w:val="auto"/>
                <w:sz w:val="21"/>
                <w:highlight w:val="none"/>
                <w:lang w:val="en-US" w:eastAsia="zh-CN"/>
              </w:rPr>
              <w:t>处理达标后排放。</w:t>
            </w:r>
            <w:r>
              <w:rPr>
                <w:rFonts w:hint="eastAsia" w:ascii="Times New Roman" w:hAnsi="Times New Roman" w:eastAsia="宋体" w:cs="宋体"/>
                <w:bCs/>
                <w:color w:val="auto"/>
                <w:sz w:val="21"/>
                <w:highlight w:val="none"/>
                <w:lang w:eastAsia="zh-CN"/>
              </w:rPr>
              <w:t>水量平衡图见下图。</w:t>
            </w:r>
          </w:p>
          <w:p w14:paraId="721E52B9">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rPr>
              <w:object>
                <v:shape id="_x0000_i1025" o:spt="75" type="#_x0000_t75" style="height:167.55pt;width:330.8pt;" o:ole="t" filled="f" o:preferrelative="t" stroked="f" coordsize="21600,21600">
                  <v:path/>
                  <v:fill on="f" focussize="0,0"/>
                  <v:stroke on="f"/>
                  <v:imagedata r:id="rId18" o:title=""/>
                  <o:lock v:ext="edit" aspectratio="f"/>
                  <w10:wrap type="none"/>
                  <w10:anchorlock/>
                </v:shape>
                <o:OLEObject Type="Embed" ProgID="Visio.Drawing.15" ShapeID="_x0000_i1025" DrawAspect="Content" ObjectID="_1468075725" r:id="rId17">
                  <o:LockedField>false</o:LockedField>
                </o:OLEObject>
              </w:object>
            </w:r>
          </w:p>
          <w:p w14:paraId="7233D6B5">
            <w:pPr>
              <w:pStyle w:val="1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eastAsia="宋体" w:cs="宋体"/>
                <w:color w:val="auto"/>
                <w:sz w:val="21"/>
                <w:szCs w:val="21"/>
                <w:highlight w:val="none"/>
                <w:lang w:val="en-US" w:eastAsia="zh-CN"/>
              </w:rPr>
            </w:pPr>
            <w:r>
              <w:rPr>
                <w:rFonts w:hint="eastAsia" w:ascii="Times New Roman" w:hAnsi="Times New Roman" w:eastAsia="宋体" w:cs="宋体"/>
                <w:b/>
                <w:bCs/>
                <w:color w:val="auto"/>
                <w:sz w:val="21"/>
                <w:szCs w:val="21"/>
                <w:highlight w:val="none"/>
              </w:rPr>
              <w:t>图2-</w:t>
            </w:r>
            <w:r>
              <w:rPr>
                <w:rFonts w:hint="eastAsia" w:ascii="Times New Roman" w:hAnsi="Times New Roman" w:eastAsia="宋体" w:cs="宋体"/>
                <w:b/>
                <w:bCs/>
                <w:color w:val="auto"/>
                <w:sz w:val="21"/>
                <w:szCs w:val="21"/>
                <w:highlight w:val="none"/>
                <w:lang w:val="en-US" w:eastAsia="zh-CN"/>
              </w:rPr>
              <w:t>1</w:t>
            </w:r>
            <w:r>
              <w:rPr>
                <w:rFonts w:hint="eastAsia" w:ascii="Times New Roman" w:hAnsi="Times New Roman" w:eastAsia="宋体" w:cs="宋体"/>
                <w:b/>
                <w:bCs/>
                <w:color w:val="auto"/>
                <w:sz w:val="21"/>
                <w:szCs w:val="21"/>
                <w:highlight w:val="none"/>
              </w:rPr>
              <w:t xml:space="preserve">  </w:t>
            </w:r>
            <w:r>
              <w:rPr>
                <w:rFonts w:hint="eastAsia" w:ascii="Times New Roman" w:hAnsi="Times New Roman" w:eastAsia="宋体" w:cs="宋体"/>
                <w:b/>
                <w:bCs/>
                <w:color w:val="auto"/>
                <w:sz w:val="21"/>
                <w:szCs w:val="21"/>
                <w:highlight w:val="none"/>
                <w:lang w:eastAsia="zh-CN"/>
              </w:rPr>
              <w:t>本项目</w:t>
            </w:r>
            <w:r>
              <w:rPr>
                <w:rFonts w:hint="eastAsia" w:ascii="Times New Roman" w:hAnsi="Times New Roman" w:eastAsia="宋体" w:cs="宋体"/>
                <w:b/>
                <w:bCs/>
                <w:color w:val="auto"/>
                <w:sz w:val="21"/>
                <w:szCs w:val="21"/>
                <w:highlight w:val="none"/>
                <w:lang w:val="en-US" w:eastAsia="zh-CN"/>
              </w:rPr>
              <w:t>用水</w:t>
            </w:r>
            <w:r>
              <w:rPr>
                <w:rFonts w:hint="eastAsia" w:ascii="Times New Roman" w:hAnsi="Times New Roman" w:eastAsia="宋体" w:cs="宋体"/>
                <w:b/>
                <w:bCs/>
                <w:color w:val="auto"/>
                <w:sz w:val="21"/>
                <w:szCs w:val="21"/>
                <w:highlight w:val="none"/>
                <w:lang w:eastAsia="zh-CN"/>
              </w:rPr>
              <w:t>平衡图</w:t>
            </w:r>
            <w:r>
              <w:rPr>
                <w:rFonts w:hint="eastAsia" w:ascii="Times New Roman" w:hAnsi="Times New Roman" w:eastAsia="宋体" w:cs="宋体"/>
                <w:b/>
                <w:bCs/>
                <w:color w:val="auto"/>
                <w:sz w:val="21"/>
                <w:szCs w:val="21"/>
                <w:highlight w:val="none"/>
                <w:lang w:val="en-US" w:eastAsia="zh-CN"/>
              </w:rPr>
              <w:t xml:space="preserve"> </w:t>
            </w:r>
            <w:r>
              <w:rPr>
                <w:rFonts w:hint="eastAsia" w:ascii="Times New Roman" w:hAnsi="Times New Roman" w:eastAsia="宋体" w:cs="宋体"/>
                <w:b/>
                <w:bCs/>
                <w:color w:val="auto"/>
                <w:sz w:val="21"/>
                <w:szCs w:val="21"/>
                <w:highlight w:val="none"/>
                <w:lang w:eastAsia="zh-CN"/>
              </w:rPr>
              <w:t>（</w:t>
            </w:r>
            <w:r>
              <w:rPr>
                <w:rFonts w:hint="eastAsia" w:ascii="Times New Roman" w:hAnsi="Times New Roman" w:eastAsia="宋体" w:cs="宋体"/>
                <w:b/>
                <w:bCs/>
                <w:color w:val="auto"/>
                <w:sz w:val="21"/>
                <w:szCs w:val="21"/>
                <w:highlight w:val="none"/>
                <w:lang w:val="en-US" w:eastAsia="zh-CN"/>
              </w:rPr>
              <w:t>t/d</w:t>
            </w:r>
            <w:r>
              <w:rPr>
                <w:rFonts w:hint="eastAsia" w:ascii="Times New Roman" w:hAnsi="Times New Roman" w:eastAsia="宋体" w:cs="宋体"/>
                <w:b/>
                <w:bCs/>
                <w:color w:val="auto"/>
                <w:sz w:val="21"/>
                <w:szCs w:val="21"/>
                <w:highlight w:val="none"/>
                <w:lang w:eastAsia="zh-CN"/>
              </w:rPr>
              <w:t>）</w:t>
            </w:r>
          </w:p>
          <w:p w14:paraId="07A1F386">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rPr>
              <w:t>（3）采暖</w:t>
            </w:r>
          </w:p>
          <w:p w14:paraId="7797A63E">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lang w:val="en-US"/>
              </w:rPr>
            </w:pPr>
            <w:r>
              <w:rPr>
                <w:rFonts w:hint="eastAsia" w:ascii="Times New Roman" w:hAnsi="Times New Roman" w:eastAsia="宋体" w:cs="宋体"/>
                <w:color w:val="auto"/>
                <w:sz w:val="21"/>
                <w:highlight w:val="none"/>
              </w:rPr>
              <w:t>本项目供热热源由</w:t>
            </w:r>
            <w:r>
              <w:rPr>
                <w:rFonts w:hint="eastAsia" w:ascii="Times New Roman" w:hAnsi="Times New Roman" w:eastAsia="宋体" w:cs="宋体"/>
                <w:color w:val="auto"/>
                <w:sz w:val="21"/>
                <w:highlight w:val="none"/>
                <w:lang w:val="en-US" w:eastAsia="zh-CN"/>
              </w:rPr>
              <w:t>1台2.8MW燃生物质锅炉供热，燃料为生物质成型燃料。</w:t>
            </w:r>
          </w:p>
          <w:p w14:paraId="50F51234">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rPr>
              <w:t>（4）供电</w:t>
            </w:r>
          </w:p>
          <w:p w14:paraId="2977DCD2">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cs="宋体"/>
                <w:color w:val="auto"/>
                <w:sz w:val="21"/>
                <w:highlight w:val="none"/>
                <w:lang w:val="en-US" w:eastAsia="zh-CN"/>
              </w:rPr>
            </w:pPr>
            <w:r>
              <w:rPr>
                <w:rFonts w:hint="eastAsia" w:ascii="Times New Roman" w:hAnsi="Times New Roman" w:eastAsia="宋体" w:cs="宋体"/>
                <w:color w:val="auto"/>
                <w:sz w:val="21"/>
                <w:highlight w:val="none"/>
              </w:rPr>
              <w:t>由市政电网供给。</w:t>
            </w:r>
            <w:r>
              <w:rPr>
                <w:rFonts w:hint="eastAsia" w:cs="宋体"/>
                <w:color w:val="auto"/>
                <w:sz w:val="21"/>
                <w:highlight w:val="none"/>
                <w:lang w:val="en-US" w:eastAsia="zh-CN"/>
              </w:rPr>
              <w:t>.</w:t>
            </w:r>
          </w:p>
          <w:p w14:paraId="42F68F5F">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lang w:eastAsia="zh-CN"/>
              </w:rPr>
              <w:t>（</w:t>
            </w:r>
            <w:r>
              <w:rPr>
                <w:rFonts w:hint="eastAsia" w:ascii="Times New Roman" w:hAnsi="Times New Roman" w:eastAsia="宋体" w:cs="宋体"/>
                <w:color w:val="auto"/>
                <w:sz w:val="21"/>
                <w:highlight w:val="none"/>
                <w:lang w:val="en-US" w:eastAsia="zh-CN"/>
              </w:rPr>
              <w:t>5</w:t>
            </w:r>
            <w:r>
              <w:rPr>
                <w:rFonts w:hint="eastAsia" w:ascii="Times New Roman" w:hAnsi="Times New Roman" w:eastAsia="宋体" w:cs="宋体"/>
                <w:color w:val="auto"/>
                <w:sz w:val="21"/>
                <w:highlight w:val="none"/>
                <w:lang w:eastAsia="zh-CN"/>
              </w:rPr>
              <w:t>）</w:t>
            </w:r>
            <w:r>
              <w:rPr>
                <w:rFonts w:hint="eastAsia" w:ascii="Times New Roman" w:hAnsi="Times New Roman" w:eastAsia="宋体" w:cs="宋体"/>
                <w:color w:val="auto"/>
                <w:sz w:val="21"/>
                <w:highlight w:val="none"/>
              </w:rPr>
              <w:t>劳动定员和工作天数</w:t>
            </w:r>
          </w:p>
          <w:p w14:paraId="4CDA4114">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lang w:val="en-US" w:eastAsia="zh-CN"/>
              </w:rPr>
              <w:t>项目劳动定员为</w:t>
            </w:r>
            <w:r>
              <w:rPr>
                <w:rFonts w:hint="eastAsia" w:cs="宋体"/>
                <w:color w:val="auto"/>
                <w:sz w:val="21"/>
                <w:highlight w:val="none"/>
                <w:lang w:val="en-US" w:eastAsia="zh-CN"/>
              </w:rPr>
              <w:t>4</w:t>
            </w:r>
            <w:r>
              <w:rPr>
                <w:rFonts w:hint="eastAsia" w:ascii="Times New Roman" w:hAnsi="Times New Roman" w:eastAsia="宋体" w:cs="宋体"/>
                <w:color w:val="auto"/>
                <w:sz w:val="21"/>
                <w:highlight w:val="none"/>
                <w:lang w:val="en-US" w:eastAsia="zh-CN"/>
              </w:rPr>
              <w:t>人，</w:t>
            </w:r>
            <w:r>
              <w:rPr>
                <w:rFonts w:hint="eastAsia" w:cs="宋体"/>
                <w:color w:val="auto"/>
                <w:sz w:val="21"/>
                <w:highlight w:val="none"/>
                <w:lang w:val="en-US" w:eastAsia="zh-CN"/>
              </w:rPr>
              <w:t>所需员工为企业内调配，</w:t>
            </w:r>
            <w:r>
              <w:rPr>
                <w:rFonts w:hint="eastAsia" w:ascii="Times New Roman" w:hAnsi="Times New Roman" w:eastAsia="宋体" w:cs="宋体"/>
                <w:color w:val="auto"/>
                <w:sz w:val="21"/>
                <w:highlight w:val="none"/>
                <w:lang w:val="en-US" w:eastAsia="zh-CN"/>
              </w:rPr>
              <w:t>24小时</w:t>
            </w:r>
            <w:r>
              <w:rPr>
                <w:rFonts w:hint="eastAsia" w:cs="宋体"/>
                <w:color w:val="auto"/>
                <w:sz w:val="21"/>
                <w:highlight w:val="none"/>
                <w:lang w:val="en-US" w:eastAsia="zh-CN"/>
              </w:rPr>
              <w:t>两班制，</w:t>
            </w:r>
            <w:r>
              <w:rPr>
                <w:rFonts w:hint="eastAsia" w:ascii="Times New Roman" w:hAnsi="Times New Roman" w:eastAsia="宋体" w:cs="宋体"/>
                <w:color w:val="auto"/>
                <w:sz w:val="21"/>
                <w:highlight w:val="none"/>
                <w:lang w:val="en-US" w:eastAsia="zh-CN"/>
              </w:rPr>
              <w:t>年工作180天</w:t>
            </w:r>
            <w:r>
              <w:rPr>
                <w:rFonts w:hint="eastAsia" w:ascii="Times New Roman" w:hAnsi="Times New Roman" w:eastAsia="宋体" w:cs="宋体"/>
                <w:color w:val="auto"/>
                <w:sz w:val="21"/>
                <w:highlight w:val="none"/>
              </w:rPr>
              <w:t>。</w:t>
            </w:r>
          </w:p>
          <w:p w14:paraId="6322E93D">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lang w:eastAsia="zh-CN"/>
              </w:rPr>
              <w:t>（</w:t>
            </w:r>
            <w:r>
              <w:rPr>
                <w:rFonts w:hint="eastAsia" w:ascii="Times New Roman" w:hAnsi="Times New Roman" w:eastAsia="宋体" w:cs="宋体"/>
                <w:color w:val="auto"/>
                <w:sz w:val="21"/>
                <w:highlight w:val="none"/>
                <w:lang w:val="en-US" w:eastAsia="zh-CN"/>
              </w:rPr>
              <w:t>6</w:t>
            </w:r>
            <w:r>
              <w:rPr>
                <w:rFonts w:hint="eastAsia" w:ascii="Times New Roman" w:hAnsi="Times New Roman" w:eastAsia="宋体" w:cs="宋体"/>
                <w:color w:val="auto"/>
                <w:sz w:val="21"/>
                <w:highlight w:val="none"/>
                <w:lang w:eastAsia="zh-CN"/>
              </w:rPr>
              <w:t>）</w:t>
            </w:r>
            <w:r>
              <w:rPr>
                <w:rFonts w:hint="eastAsia" w:ascii="Times New Roman" w:hAnsi="Times New Roman" w:eastAsia="宋体" w:cs="宋体"/>
                <w:color w:val="auto"/>
                <w:sz w:val="21"/>
                <w:highlight w:val="none"/>
              </w:rPr>
              <w:t>平面布置</w:t>
            </w:r>
          </w:p>
          <w:p w14:paraId="66F5C25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rPr>
              <w:t>本项目</w:t>
            </w:r>
            <w:r>
              <w:rPr>
                <w:rFonts w:hint="eastAsia" w:ascii="Times New Roman" w:hAnsi="Times New Roman" w:eastAsia="宋体" w:cs="宋体"/>
                <w:color w:val="auto"/>
                <w:sz w:val="21"/>
                <w:highlight w:val="none"/>
                <w:lang w:val="en-US" w:eastAsia="zh-CN"/>
              </w:rPr>
              <w:t>锅炉房</w:t>
            </w:r>
            <w:r>
              <w:rPr>
                <w:rFonts w:hint="eastAsia" w:ascii="Times New Roman" w:hAnsi="Times New Roman" w:eastAsia="宋体" w:cs="宋体"/>
                <w:color w:val="auto"/>
                <w:sz w:val="21"/>
                <w:highlight w:val="none"/>
              </w:rPr>
              <w:t>位于厂区</w:t>
            </w:r>
            <w:r>
              <w:rPr>
                <w:rFonts w:hint="eastAsia" w:ascii="Times New Roman" w:hAnsi="Times New Roman" w:eastAsia="宋体" w:cs="宋体"/>
                <w:color w:val="auto"/>
                <w:sz w:val="21"/>
                <w:highlight w:val="none"/>
                <w:lang w:val="en-US" w:eastAsia="zh-CN"/>
              </w:rPr>
              <w:t>中部，</w:t>
            </w:r>
            <w:r>
              <w:rPr>
                <w:rFonts w:hint="eastAsia" w:cs="宋体"/>
                <w:color w:val="auto"/>
                <w:sz w:val="21"/>
                <w:highlight w:val="none"/>
                <w:lang w:val="en-US" w:eastAsia="zh-CN"/>
              </w:rPr>
              <w:t>水房位于锅炉房东侧，库房紧邻</w:t>
            </w:r>
            <w:r>
              <w:rPr>
                <w:rFonts w:hint="eastAsia" w:ascii="Times New Roman" w:hAnsi="Times New Roman" w:eastAsia="宋体" w:cs="宋体"/>
                <w:color w:val="auto"/>
                <w:sz w:val="21"/>
                <w:highlight w:val="none"/>
                <w:lang w:val="en-US" w:eastAsia="zh-CN"/>
              </w:rPr>
              <w:t>锅炉房</w:t>
            </w:r>
            <w:r>
              <w:rPr>
                <w:rFonts w:hint="eastAsia" w:cs="宋体"/>
                <w:color w:val="auto"/>
                <w:sz w:val="21"/>
                <w:highlight w:val="none"/>
                <w:lang w:val="en-US" w:eastAsia="zh-CN"/>
              </w:rPr>
              <w:t>。</w:t>
            </w:r>
            <w:r>
              <w:rPr>
                <w:rFonts w:hint="eastAsia" w:ascii="Times New Roman" w:hAnsi="Times New Roman" w:eastAsia="宋体" w:cs="宋体"/>
                <w:color w:val="auto"/>
                <w:sz w:val="21"/>
                <w:highlight w:val="none"/>
              </w:rPr>
              <w:t>厂区平面布置功能区明确，建筑物布置规范，</w:t>
            </w:r>
            <w:r>
              <w:rPr>
                <w:rFonts w:hint="eastAsia" w:ascii="Times New Roman" w:hAnsi="Times New Roman" w:eastAsia="宋体" w:cs="宋体"/>
                <w:b w:val="0"/>
                <w:color w:val="auto"/>
                <w:kern w:val="2"/>
                <w:sz w:val="21"/>
                <w:szCs w:val="24"/>
                <w:highlight w:val="none"/>
              </w:rPr>
              <w:t>符合消防规范的规定</w:t>
            </w:r>
            <w:r>
              <w:rPr>
                <w:rFonts w:hint="eastAsia" w:ascii="Times New Roman" w:hAnsi="Times New Roman" w:eastAsia="宋体" w:cs="宋体"/>
                <w:b w:val="0"/>
                <w:color w:val="auto"/>
                <w:kern w:val="2"/>
                <w:sz w:val="21"/>
                <w:szCs w:val="24"/>
                <w:highlight w:val="none"/>
                <w:lang w:eastAsia="zh-CN"/>
              </w:rPr>
              <w:t>，</w:t>
            </w:r>
            <w:r>
              <w:rPr>
                <w:rFonts w:hint="eastAsia" w:ascii="Times New Roman" w:hAnsi="Times New Roman" w:eastAsia="宋体" w:cs="宋体"/>
                <w:color w:val="auto"/>
                <w:sz w:val="21"/>
                <w:highlight w:val="none"/>
              </w:rPr>
              <w:t>项目平面布置合理</w:t>
            </w:r>
            <w:r>
              <w:rPr>
                <w:rStyle w:val="115"/>
                <w:rFonts w:hint="eastAsia" w:ascii="Times New Roman" w:hAnsi="Times New Roman" w:eastAsia="宋体" w:cs="宋体"/>
                <w:color w:val="auto"/>
                <w:sz w:val="21"/>
                <w:highlight w:val="none"/>
              </w:rPr>
              <w:t>。厂区平面布置见附图</w:t>
            </w:r>
            <w:r>
              <w:rPr>
                <w:rStyle w:val="115"/>
                <w:rFonts w:hint="eastAsia" w:cs="宋体"/>
                <w:color w:val="auto"/>
                <w:sz w:val="21"/>
                <w:highlight w:val="none"/>
                <w:lang w:val="en-US" w:eastAsia="zh-CN"/>
              </w:rPr>
              <w:t>3</w:t>
            </w:r>
            <w:r>
              <w:rPr>
                <w:rStyle w:val="115"/>
                <w:rFonts w:hint="eastAsia" w:ascii="Times New Roman" w:hAnsi="Times New Roman" w:eastAsia="宋体" w:cs="宋体"/>
                <w:color w:val="auto"/>
                <w:sz w:val="21"/>
                <w:highlight w:val="none"/>
              </w:rPr>
              <w:t>。</w:t>
            </w:r>
          </w:p>
        </w:tc>
      </w:tr>
      <w:tr w14:paraId="1EEA3E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7" w:hRule="atLeast"/>
          <w:jc w:val="center"/>
        </w:trPr>
        <w:tc>
          <w:tcPr>
            <w:tcW w:w="823" w:type="dxa"/>
            <w:noWrap w:val="0"/>
            <w:vAlign w:val="center"/>
          </w:tcPr>
          <w:p w14:paraId="7F3E39CA">
            <w:pPr>
              <w:pStyle w:val="36"/>
              <w:adjustRightInd w:val="0"/>
              <w:snapToGrid w:val="0"/>
              <w:spacing w:before="0" w:beforeAutospacing="0" w:after="0" w:afterAutospacing="0"/>
              <w:jc w:val="center"/>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工艺流程和产排污环节</w:t>
            </w:r>
          </w:p>
        </w:tc>
        <w:tc>
          <w:tcPr>
            <w:tcW w:w="8142" w:type="dxa"/>
            <w:noWrap w:val="0"/>
            <w:vAlign w:val="top"/>
          </w:tcPr>
          <w:p w14:paraId="24619778">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b/>
                <w:bCs/>
                <w:color w:val="auto"/>
                <w:sz w:val="21"/>
                <w:highlight w:val="none"/>
              </w:rPr>
            </w:pPr>
            <w:r>
              <w:rPr>
                <w:rFonts w:hint="eastAsia" w:ascii="Times New Roman" w:hAnsi="Times New Roman" w:eastAsia="宋体" w:cs="宋体"/>
                <w:b/>
                <w:bCs/>
                <w:color w:val="auto"/>
                <w:sz w:val="21"/>
                <w:highlight w:val="none"/>
              </w:rPr>
              <w:t>1、工艺流程简述</w:t>
            </w:r>
          </w:p>
          <w:p w14:paraId="7A610BF3">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Times New Roman" w:hAnsi="Times New Roman" w:eastAsia="宋体" w:cs="宋体"/>
                <w:b/>
                <w:bCs w:val="0"/>
                <w:color w:val="auto"/>
                <w:kern w:val="18"/>
                <w:sz w:val="21"/>
                <w:szCs w:val="24"/>
                <w:highlight w:val="none"/>
                <w:lang w:val="en-US" w:eastAsia="zh-CN"/>
              </w:rPr>
            </w:pPr>
            <w:r>
              <w:rPr>
                <w:rFonts w:hint="eastAsia" w:ascii="Times New Roman" w:hAnsi="Times New Roman" w:eastAsia="宋体" w:cs="宋体"/>
                <w:b/>
                <w:bCs w:val="0"/>
                <w:color w:val="auto"/>
                <w:kern w:val="18"/>
                <w:sz w:val="21"/>
                <w:szCs w:val="24"/>
                <w:highlight w:val="none"/>
                <w:lang w:val="en-US" w:eastAsia="zh-CN"/>
              </w:rPr>
              <w:t>（1）施工期</w:t>
            </w:r>
          </w:p>
          <w:p w14:paraId="5653868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Times New Roman" w:hAnsi="Times New Roman" w:eastAsia="宋体" w:cs="宋体"/>
                <w:b/>
                <w:bCs w:val="0"/>
                <w:color w:val="auto"/>
                <w:kern w:val="18"/>
                <w:sz w:val="21"/>
                <w:szCs w:val="24"/>
                <w:highlight w:val="none"/>
                <w:lang w:val="en-US" w:eastAsia="zh-CN"/>
              </w:rPr>
            </w:pPr>
            <w:r>
              <w:rPr>
                <w:rFonts w:hint="eastAsia" w:ascii="Times New Roman" w:hAnsi="Times New Roman" w:eastAsia="宋体" w:cs="宋体"/>
                <w:color w:val="auto"/>
                <w:sz w:val="21"/>
                <w:szCs w:val="24"/>
                <w:highlight w:val="none"/>
                <w:lang w:val="en-US" w:eastAsia="zh-CN"/>
              </w:rPr>
              <w:t>本项目施工期仅对锅炉进行改造，且施工时间较短，随着施工期的结束，环境影响也随之结束。施工期环境影响主要为</w:t>
            </w:r>
            <w:r>
              <w:rPr>
                <w:rFonts w:hint="eastAsia" w:ascii="Times New Roman" w:hAnsi="Times New Roman" w:eastAsia="宋体" w:cs="宋体"/>
                <w:bCs/>
                <w:color w:val="auto"/>
                <w:sz w:val="21"/>
                <w:highlight w:val="none"/>
              </w:rPr>
              <w:t>施工机械噪声</w:t>
            </w:r>
            <w:r>
              <w:rPr>
                <w:rFonts w:hint="eastAsia" w:cs="宋体"/>
                <w:bCs/>
                <w:color w:val="auto"/>
                <w:sz w:val="21"/>
                <w:highlight w:val="none"/>
                <w:lang w:eastAsia="zh-CN"/>
              </w:rPr>
              <w:t>、</w:t>
            </w:r>
            <w:r>
              <w:rPr>
                <w:rFonts w:hint="eastAsia" w:ascii="Times New Roman" w:hAnsi="Times New Roman" w:eastAsia="宋体" w:cs="宋体"/>
                <w:bCs/>
                <w:color w:val="auto"/>
                <w:sz w:val="21"/>
                <w:highlight w:val="none"/>
              </w:rPr>
              <w:t>施工人员产生的生活污水和生活垃圾等。</w:t>
            </w:r>
          </w:p>
          <w:p w14:paraId="0F7E321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b/>
                <w:bCs w:val="0"/>
                <w:color w:val="auto"/>
                <w:kern w:val="18"/>
                <w:sz w:val="21"/>
                <w:szCs w:val="24"/>
                <w:highlight w:val="none"/>
                <w:lang w:val="en-US" w:eastAsia="zh-CN"/>
              </w:rPr>
            </w:pPr>
            <w:r>
              <w:rPr>
                <w:rFonts w:hint="eastAsia" w:ascii="Times New Roman" w:hAnsi="Times New Roman" w:eastAsia="宋体" w:cs="宋体"/>
                <w:color w:val="auto"/>
                <w:sz w:val="21"/>
                <w:highlight w:val="none"/>
              </w:rPr>
              <mc:AlternateContent>
                <mc:Choice Requires="wpc">
                  <w:drawing>
                    <wp:inline distT="0" distB="0" distL="114300" distR="114300">
                      <wp:extent cx="5008245" cy="1268095"/>
                      <wp:effectExtent l="0" t="0" r="0" b="0"/>
                      <wp:docPr id="56" name="画布 56"/>
                      <wp:cNvGraphicFramePr/>
                      <a:graphic xmlns:a="http://schemas.openxmlformats.org/drawingml/2006/main">
                        <a:graphicData uri="http://schemas.microsoft.com/office/word/2010/wordprocessingCanvas">
                          <wpc:wpc>
                            <wpc:bg/>
                            <wpc:whole>
                              <a:ln>
                                <a:noFill/>
                              </a:ln>
                            </wpc:whole>
                            <wps:wsp>
                              <wps:cNvPr id="14" name="矩形 64"/>
                              <wps:cNvSpPr/>
                              <wps:spPr>
                                <a:xfrm>
                                  <a:off x="362585" y="753110"/>
                                  <a:ext cx="857250" cy="412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5D1A62C">
                                    <w:pPr>
                                      <w:jc w:val="center"/>
                                      <w:rPr>
                                        <w:rFonts w:hint="eastAsia"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设备改造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 name="直接箭头连接符 65"/>
                              <wps:cNvCnPr/>
                              <wps:spPr>
                                <a:xfrm>
                                  <a:off x="1238885" y="956310"/>
                                  <a:ext cx="539750" cy="0"/>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0" name="矩形 74"/>
                              <wps:cNvSpPr/>
                              <wps:spPr>
                                <a:xfrm>
                                  <a:off x="1786255" y="757555"/>
                                  <a:ext cx="857250" cy="412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4F77BB">
                                    <w:pPr>
                                      <w:jc w:val="center"/>
                                      <w:rPr>
                                        <w:rFonts w:hint="default"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调试</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7" name="直接箭头连接符 78"/>
                              <wps:cNvCnPr>
                                <a:stCxn id="64" idx="0"/>
                              </wps:cNvCnPr>
                              <wps:spPr>
                                <a:xfrm flipH="1" flipV="1">
                                  <a:off x="788035" y="440690"/>
                                  <a:ext cx="3175" cy="312420"/>
                                </a:xfrm>
                                <a:prstGeom prst="straightConnector1">
                                  <a:avLst/>
                                </a:prstGeom>
                                <a:ln w="6350">
                                  <a:solidFill>
                                    <a:schemeClr val="tx1"/>
                                  </a:solidFill>
                                  <a:prstDash val="sysDash"/>
                                  <a:tailEnd type="arrow"/>
                                </a:ln>
                              </wps:spPr>
                              <wps:style>
                                <a:lnRef idx="2">
                                  <a:schemeClr val="accent1"/>
                                </a:lnRef>
                                <a:fillRef idx="0">
                                  <a:srgbClr val="FFFFFF"/>
                                </a:fillRef>
                                <a:effectRef idx="0">
                                  <a:srgbClr val="FFFFFF"/>
                                </a:effectRef>
                                <a:fontRef idx="minor">
                                  <a:schemeClr val="tx1"/>
                                </a:fontRef>
                              </wps:style>
                              <wps:bodyPr/>
                            </wps:wsp>
                            <wps:wsp>
                              <wps:cNvPr id="28" name="矩形 83"/>
                              <wps:cNvSpPr/>
                              <wps:spPr>
                                <a:xfrm>
                                  <a:off x="8255" y="78105"/>
                                  <a:ext cx="1700530" cy="412750"/>
                                </a:xfrm>
                                <a:prstGeom prst="rect">
                                  <a:avLst/>
                                </a:prstGeom>
                                <a:no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0E3B31">
                                    <w:pPr>
                                      <w:jc w:val="center"/>
                                      <w:rPr>
                                        <w:rFonts w:hint="default"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废水、噪声、固废</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5" name="直接箭头连接符 85"/>
                              <wps:cNvCnPr/>
                              <wps:spPr>
                                <a:xfrm>
                                  <a:off x="2649855" y="960755"/>
                                  <a:ext cx="539750" cy="0"/>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41" name="矩形 108"/>
                              <wps:cNvSpPr/>
                              <wps:spPr>
                                <a:xfrm>
                                  <a:off x="3178810" y="770255"/>
                                  <a:ext cx="857250" cy="412750"/>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25DBB7">
                                    <w:pPr>
                                      <w:jc w:val="center"/>
                                      <w:rPr>
                                        <w:rFonts w:hint="default"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竣工</w:t>
                                    </w:r>
                                  </w:p>
                                </w:txbxContent>
                              </wps:txbx>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w:pict>
                    <v:group id="_x0000_s1026" o:spid="_x0000_s1026" o:spt="203" style="height:99.85pt;width:394.35pt;" coordsize="5008245,1268095" editas="canvas" o:gfxdata="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M3g&#10;RbzXAAAABQEAAA8AAAAAAAAAAQAgAAAAIgAAAGRycy9kb3ducmV2LnhtbFBLAQIUABQAAAAIAIdO&#10;4kDr2LihXgQAALMUAAAOAAAAAAAAAAEAIAAAACYBAABkcnMvZTJvRG9jLnhtbFBLBQYAAAAABgAG&#10;AFkBAAD2BwAAAAA=&#10;">
                      <o:lock v:ext="edit" aspectratio="f"/>
                      <v:shape id="_x0000_s1026" o:spid="_x0000_s1026" style="position:absolute;left:0;top:0;height:1268095;width:5008245;" filled="f" stroked="f" coordsize="21600,21600" o:gfxdata="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">
                        <v:fill on="f" focussize="0,0"/>
                        <v:stroke on="f"/>
                        <v:imagedata o:title=""/>
                        <o:lock v:ext="edit" aspectratio="f"/>
                      </v:shape>
                      <v:rect id="矩形 64" o:spid="_x0000_s1026" o:spt="1" style="position:absolute;left:362585;top:753110;height:412750;width:857250;v-text-anchor:middle;" filled="f" stroked="t" coordsize="21600,21600" o:gfxdata="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Cl6UbtMAAAAFAQAADwAAAAAAAAABACAAAAAiAAAAZHJzL2Rvd25yZXYueG1sUEsB&#10;AhQAFAAAAAgAh07iQPYiRWJsAgAAyQQAAA4AAAAAAAAAAQAgAAAAIgEAAGRycy9lMm9Eb2MueG1s&#10;UEsFBgAAAAAGAAYAWQEAAAAGAAAAAA==&#10;">
                        <v:fill on="f" focussize="0,0"/>
                        <v:stroke weight="0.5pt" color="#000000 [3213]" joinstyle="round"/>
                        <v:imagedata o:title=""/>
                        <o:lock v:ext="edit" aspectratio="f"/>
                        <v:textbox>
                          <w:txbxContent>
                            <w:p w14:paraId="25D1A62C">
                              <w:pPr>
                                <w:jc w:val="center"/>
                                <w:rPr>
                                  <w:rFonts w:hint="eastAsia"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设备改造</w:t>
                              </w:r>
                            </w:p>
                          </w:txbxContent>
                        </v:textbox>
                      </v:rect>
                      <v:shape id="直接箭头连接符 65" o:spid="_x0000_s1026" o:spt="32" type="#_x0000_t32" style="position:absolute;left:1238885;top:956310;height:0;width:539750;" filled="f" stroked="t" coordsize="21600,21600" o:gfxdata="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kVhO/WAAAABQEAAA8AAAAAAAAAAQAgAAAAIgAAAGRycy9k&#10;b3ducmV2LnhtbFBLAQIUABQAAAAIAIdO4kCOtpyTBAIAANMDAAAOAAAAAAAAAAEAIAAAACUBAABk&#10;cnMvZTJvRG9jLnhtbFBLBQYAAAAABgAGAFkBAACbBQAAAAA=&#10;">
                        <v:fill on="f" focussize="0,0"/>
                        <v:stroke weight="0.5pt" color="#000000 [3213]" joinstyle="round" endarrow="open"/>
                        <v:imagedata o:title=""/>
                        <o:lock v:ext="edit" aspectratio="f"/>
                      </v:shape>
                      <v:rect id="矩形 74" o:spid="_x0000_s1026" o:spt="1" style="position:absolute;left:1786255;top:757555;height:412750;width:857250;v-text-anchor:middle;" filled="f" stroked="t" coordsize="21600,21600" o:gfxdata="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l6UbtMAAAAFAQAADwAAAAAAAAABACAAAAAiAAAAZHJzL2Rvd25yZXYueG1sUEsBAhQA&#10;FAAAAAgAh07iQKspDLVpAgAAygQAAA4AAAAAAAAAAQAgAAAAIgEAAGRycy9lMm9Eb2MueG1sUEsF&#10;BgAAAAAGAAYAWQEAAP0FAAAAAA==&#10;">
                        <v:fill on="f" focussize="0,0"/>
                        <v:stroke weight="0.5pt" color="#000000 [3213]" joinstyle="round"/>
                        <v:imagedata o:title=""/>
                        <o:lock v:ext="edit" aspectratio="f"/>
                        <v:textbox>
                          <w:txbxContent>
                            <w:p w14:paraId="214F77BB">
                              <w:pPr>
                                <w:jc w:val="center"/>
                                <w:rPr>
                                  <w:rFonts w:hint="default"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调试</w:t>
                              </w:r>
                            </w:p>
                          </w:txbxContent>
                        </v:textbox>
                      </v:rect>
                      <v:shape id="直接箭头连接符 78" o:spid="_x0000_s1026" o:spt="32" type="#_x0000_t32" style="position:absolute;left:788035;top:440690;flip:x y;height:312420;width:3175;" filled="f" stroked="t" coordsize="21600,21600" o:gfxdata="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M&#10;4XmA1gAAAAUBAAAPAAAAAAAAAAEAIAAAACIAAABkcnMvZG93bnJldi54bWxQSwECFAAUAAAACACH&#10;TuJASQUAySYCAAASBAAADgAAAAAAAAABACAAAAAlAQAAZHJzL2Uyb0RvYy54bWxQSwUGAAAAAAYA&#10;BgBZAQAAvQUAAAAA&#10;">
                        <v:fill on="f" focussize="0,0"/>
                        <v:stroke weight="0.5pt" color="#000000 [3213]" joinstyle="round" dashstyle="3 1" endarrow="open"/>
                        <v:imagedata o:title=""/>
                        <o:lock v:ext="edit" aspectratio="f"/>
                      </v:shape>
                      <v:rect id="矩形 83" o:spid="_x0000_s1026" o:spt="1" style="position:absolute;left:8255;top:78105;height:412750;width:1700530;v-text-anchor:middle;" filled="f" stroked="f" coordsize="21600,21600" o:gfxdata="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qmYF&#10;zdYAAAAFAQAADwAAAAAAAAABACAAAAAiAAAAZHJzL2Rvd25yZXYueG1sUEsBAhQAFAAAAAgAh07i&#10;QL1AkpRdAgAAngQAAA4AAAAAAAAAAQAgAAAAJQEAAGRycy9lMm9Eb2MueG1sUEsFBgAAAAAGAAYA&#10;WQEAAPQFAAAAAA==&#10;">
                        <v:fill on="f" focussize="0,0"/>
                        <v:stroke on="f" weight="0.5pt"/>
                        <v:imagedata o:title=""/>
                        <o:lock v:ext="edit" aspectratio="f"/>
                        <v:textbox>
                          <w:txbxContent>
                            <w:p w14:paraId="310E3B31">
                              <w:pPr>
                                <w:jc w:val="center"/>
                                <w:rPr>
                                  <w:rFonts w:hint="default"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废水、噪声、固废</w:t>
                              </w:r>
                            </w:p>
                          </w:txbxContent>
                        </v:textbox>
                      </v:rect>
                      <v:shape id="直接箭头连接符 85" o:spid="_x0000_s1026" o:spt="32" type="#_x0000_t32" style="position:absolute;left:2649855;top:960755;height:0;width:539750;" filled="f" stroked="t" coordsize="21600,21600" o:gfxdata="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JFYTv1gAAAAUBAAAPAAAAAAAAAAEAIAAAACIAAABkcnMv&#10;ZG93bnJldi54bWxQSwECFAAUAAAACACHTuJAMPAGoQUCAADTAwAADgAAAAAAAAABACAAAAAlAQAA&#10;ZHJzL2Uyb0RvYy54bWxQSwUGAAAAAAYABgBZAQAAnAUAAAAA&#10;">
                        <v:fill on="f" focussize="0,0"/>
                        <v:stroke weight="0.5pt" color="#000000 [3213]" joinstyle="round" endarrow="open"/>
                        <v:imagedata o:title=""/>
                        <o:lock v:ext="edit" aspectratio="f"/>
                      </v:shape>
                      <v:rect id="矩形 108" o:spid="_x0000_s1026" o:spt="1" style="position:absolute;left:3178810;top:770255;height:412750;width:857250;v-text-anchor:middle;" filled="f" stroked="t" coordsize="21600,21600" o:gfxdata="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ApelG7TAAAABQEAAA8AAAAAAAAAAQAgAAAAIgAAAGRycy9kb3ducmV2LnhtbFBL&#10;AQIUABQAAAAIAIdO4kBweTf5bQIAAMsEAAAOAAAAAAAAAAEAIAAAACIBAABkcnMvZTJvRG9jLnht&#10;bFBLBQYAAAAABgAGAFkBAAABBgAAAAA=&#10;">
                        <v:fill on="f" focussize="0,0"/>
                        <v:stroke weight="0.5pt" color="#000000 [3213]" joinstyle="round"/>
                        <v:imagedata o:title=""/>
                        <o:lock v:ext="edit" aspectratio="f"/>
                        <v:textbox>
                          <w:txbxContent>
                            <w:p w14:paraId="5125DBB7">
                              <w:pPr>
                                <w:jc w:val="center"/>
                                <w:rPr>
                                  <w:rFonts w:hint="default"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竣工</w:t>
                              </w:r>
                            </w:p>
                          </w:txbxContent>
                        </v:textbox>
                      </v:rect>
                      <w10:wrap type="none"/>
                      <w10:anchorlock/>
                    </v:group>
                  </w:pict>
                </mc:Fallback>
              </mc:AlternateContent>
            </w:r>
          </w:p>
          <w:p w14:paraId="2C63666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auto"/>
                <w:kern w:val="18"/>
                <w:sz w:val="21"/>
                <w:szCs w:val="21"/>
                <w:highlight w:val="none"/>
                <w:lang w:val="en-US" w:eastAsia="zh-CN"/>
              </w:rPr>
            </w:pPr>
            <w:r>
              <w:rPr>
                <w:rFonts w:hint="eastAsia" w:ascii="Times New Roman" w:hAnsi="Times New Roman" w:eastAsia="宋体" w:cs="宋体"/>
                <w:b/>
                <w:bCs w:val="0"/>
                <w:color w:val="auto"/>
                <w:kern w:val="18"/>
                <w:sz w:val="21"/>
                <w:szCs w:val="21"/>
                <w:highlight w:val="none"/>
                <w:lang w:val="en-US" w:eastAsia="zh-CN"/>
              </w:rPr>
              <w:t>图2-2  施工期工艺流程及产污节点图</w:t>
            </w:r>
          </w:p>
          <w:p w14:paraId="0B9D6289">
            <w:pPr>
              <w:pStyle w:val="112"/>
              <w:keepNext w:val="0"/>
              <w:keepLines w:val="0"/>
              <w:pageBreakBefore w:val="0"/>
              <w:widowControl w:val="0"/>
              <w:numPr>
                <w:ilvl w:val="0"/>
                <w:numId w:val="6"/>
              </w:numPr>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宋体"/>
                <w:b/>
                <w:bCs w:val="0"/>
                <w:color w:val="auto"/>
                <w:kern w:val="18"/>
                <w:sz w:val="21"/>
                <w:szCs w:val="24"/>
                <w:highlight w:val="none"/>
                <w:lang w:val="en-US" w:eastAsia="zh-CN"/>
              </w:rPr>
            </w:pPr>
            <w:r>
              <w:rPr>
                <w:rFonts w:hint="eastAsia" w:ascii="Times New Roman" w:hAnsi="Times New Roman" w:eastAsia="宋体" w:cs="宋体"/>
                <w:b/>
                <w:bCs w:val="0"/>
                <w:color w:val="auto"/>
                <w:kern w:val="18"/>
                <w:sz w:val="21"/>
                <w:szCs w:val="24"/>
                <w:highlight w:val="none"/>
                <w:lang w:val="en-US" w:eastAsia="zh-CN"/>
              </w:rPr>
              <w:t>运营期</w:t>
            </w:r>
          </w:p>
          <w:p w14:paraId="4A7A099F">
            <w:pPr>
              <w:pStyle w:val="112"/>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宋体"/>
                <w:b/>
                <w:bCs w:val="0"/>
                <w:color w:val="auto"/>
                <w:kern w:val="18"/>
                <w:sz w:val="21"/>
                <w:szCs w:val="24"/>
                <w:highlight w:val="none"/>
                <w:lang w:val="en-US" w:eastAsia="zh-CN"/>
              </w:rPr>
            </w:pPr>
            <w:r>
              <w:rPr>
                <w:color w:val="auto"/>
              </w:rPr>
              <w:drawing>
                <wp:inline distT="0" distB="0" distL="114300" distR="114300">
                  <wp:extent cx="5032375" cy="2026920"/>
                  <wp:effectExtent l="0" t="0" r="15875" b="11430"/>
                  <wp:docPr id="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pic:cNvPicPr>
                            <a:picLocks noChangeAspect="1"/>
                          </pic:cNvPicPr>
                        </pic:nvPicPr>
                        <pic:blipFill>
                          <a:blip r:embed="rId19"/>
                          <a:stretch>
                            <a:fillRect/>
                          </a:stretch>
                        </pic:blipFill>
                        <pic:spPr>
                          <a:xfrm>
                            <a:off x="0" y="0"/>
                            <a:ext cx="5032375" cy="2026920"/>
                          </a:xfrm>
                          <a:prstGeom prst="rect">
                            <a:avLst/>
                          </a:prstGeom>
                          <a:noFill/>
                          <a:ln>
                            <a:noFill/>
                          </a:ln>
                        </pic:spPr>
                      </pic:pic>
                    </a:graphicData>
                  </a:graphic>
                </wp:inline>
              </w:drawing>
            </w:r>
          </w:p>
          <w:p w14:paraId="524D1BB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b/>
                <w:bCs w:val="0"/>
                <w:color w:val="auto"/>
                <w:kern w:val="18"/>
                <w:sz w:val="21"/>
                <w:szCs w:val="21"/>
                <w:highlight w:val="none"/>
                <w:lang w:val="en-US" w:eastAsia="zh-CN"/>
              </w:rPr>
            </w:pPr>
            <w:r>
              <w:rPr>
                <w:rFonts w:hint="eastAsia" w:ascii="Times New Roman" w:hAnsi="Times New Roman" w:eastAsia="宋体" w:cs="宋体"/>
                <w:b/>
                <w:bCs w:val="0"/>
                <w:color w:val="auto"/>
                <w:kern w:val="18"/>
                <w:sz w:val="21"/>
                <w:szCs w:val="21"/>
                <w:highlight w:val="none"/>
                <w:lang w:val="en-US" w:eastAsia="zh-CN"/>
              </w:rPr>
              <w:t>图2-3 运营期工艺流程及排污节点图</w:t>
            </w:r>
          </w:p>
          <w:p w14:paraId="1D76084B">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eastAsia="宋体" w:cs="宋体"/>
                <w:snapToGrid w:val="0"/>
                <w:color w:val="auto"/>
                <w:sz w:val="21"/>
                <w:szCs w:val="24"/>
                <w:highlight w:val="none"/>
              </w:rPr>
            </w:pPr>
            <w:r>
              <w:rPr>
                <w:rFonts w:hint="eastAsia" w:ascii="Times New Roman" w:hAnsi="Times New Roman" w:eastAsia="宋体" w:cs="宋体"/>
                <w:color w:val="auto"/>
                <w:sz w:val="21"/>
                <w:szCs w:val="24"/>
                <w:highlight w:val="none"/>
              </w:rPr>
              <w:t>主要生产</w:t>
            </w:r>
            <w:r>
              <w:rPr>
                <w:rFonts w:hint="eastAsia" w:ascii="Times New Roman" w:hAnsi="Times New Roman" w:eastAsia="宋体" w:cs="宋体"/>
                <w:color w:val="auto"/>
                <w:sz w:val="21"/>
                <w:szCs w:val="24"/>
                <w:highlight w:val="none"/>
                <w:u w:val="none"/>
              </w:rPr>
              <w:t>工艺流程是</w:t>
            </w:r>
            <w:r>
              <w:rPr>
                <w:rFonts w:hint="eastAsia" w:ascii="Times New Roman" w:hAnsi="Times New Roman" w:eastAsia="宋体" w:cs="宋体"/>
                <w:snapToGrid w:val="0"/>
                <w:color w:val="auto"/>
                <w:sz w:val="21"/>
                <w:szCs w:val="24"/>
                <w:highlight w:val="none"/>
                <w:u w:val="none"/>
              </w:rPr>
              <w:t>生</w:t>
            </w:r>
            <w:r>
              <w:rPr>
                <w:rFonts w:hint="eastAsia" w:ascii="Times New Roman" w:hAnsi="Times New Roman" w:eastAsia="宋体" w:cs="宋体"/>
                <w:snapToGrid w:val="0"/>
                <w:color w:val="auto"/>
                <w:sz w:val="21"/>
                <w:szCs w:val="24"/>
                <w:highlight w:val="none"/>
              </w:rPr>
              <w:t>物质</w:t>
            </w:r>
            <w:r>
              <w:rPr>
                <w:rFonts w:hint="eastAsia" w:ascii="Times New Roman" w:hAnsi="Times New Roman" w:eastAsia="宋体" w:cs="宋体"/>
                <w:snapToGrid w:val="0"/>
                <w:color w:val="auto"/>
                <w:sz w:val="21"/>
                <w:szCs w:val="24"/>
                <w:highlight w:val="none"/>
                <w:lang w:val="en-US" w:eastAsia="zh-CN"/>
              </w:rPr>
              <w:t>成型</w:t>
            </w:r>
            <w:r>
              <w:rPr>
                <w:rFonts w:hint="eastAsia" w:ascii="Times New Roman" w:hAnsi="Times New Roman" w:eastAsia="宋体" w:cs="宋体"/>
                <w:snapToGrid w:val="0"/>
                <w:color w:val="auto"/>
                <w:sz w:val="21"/>
                <w:szCs w:val="24"/>
                <w:highlight w:val="none"/>
              </w:rPr>
              <w:t>燃料由汽车运至</w:t>
            </w:r>
            <w:r>
              <w:rPr>
                <w:rFonts w:hint="eastAsia" w:ascii="Times New Roman" w:hAnsi="Times New Roman" w:eastAsia="宋体" w:cs="宋体"/>
                <w:snapToGrid w:val="0"/>
                <w:color w:val="auto"/>
                <w:sz w:val="21"/>
                <w:szCs w:val="24"/>
                <w:highlight w:val="none"/>
                <w:lang w:val="en-US" w:eastAsia="zh-CN"/>
              </w:rPr>
              <w:t>燃料暂存处</w:t>
            </w:r>
            <w:r>
              <w:rPr>
                <w:rFonts w:hint="eastAsia" w:ascii="Times New Roman" w:hAnsi="Times New Roman" w:eastAsia="宋体" w:cs="宋体"/>
                <w:snapToGrid w:val="0"/>
                <w:color w:val="auto"/>
                <w:sz w:val="21"/>
                <w:szCs w:val="24"/>
                <w:highlight w:val="none"/>
              </w:rPr>
              <w:t>，送入锅炉燃烧，产生的热能</w:t>
            </w:r>
            <w:r>
              <w:rPr>
                <w:rFonts w:hint="eastAsia" w:ascii="Times New Roman" w:hAnsi="Times New Roman" w:eastAsia="宋体" w:cs="宋体"/>
                <w:snapToGrid w:val="0"/>
                <w:color w:val="auto"/>
                <w:sz w:val="21"/>
                <w:szCs w:val="24"/>
                <w:highlight w:val="none"/>
                <w:lang w:val="en-US" w:eastAsia="zh-CN"/>
              </w:rPr>
              <w:t>给</w:t>
            </w:r>
            <w:r>
              <w:rPr>
                <w:rFonts w:hint="eastAsia" w:cs="宋体"/>
                <w:snapToGrid w:val="0"/>
                <w:color w:val="auto"/>
                <w:sz w:val="21"/>
                <w:szCs w:val="24"/>
                <w:highlight w:val="none"/>
                <w:lang w:val="en-US" w:eastAsia="zh-CN"/>
              </w:rPr>
              <w:t>铁</w:t>
            </w:r>
            <w:r>
              <w:rPr>
                <w:rFonts w:hint="eastAsia" w:ascii="Times New Roman" w:hAnsi="Times New Roman" w:cs="宋体"/>
                <w:color w:val="auto"/>
                <w:kern w:val="2"/>
                <w:sz w:val="21"/>
                <w:szCs w:val="24"/>
                <w:highlight w:val="none"/>
                <w:lang w:val="en-US" w:eastAsia="zh-CN" w:bidi="ar-SA"/>
              </w:rPr>
              <w:t>力农资农机种子综合大市场</w:t>
            </w:r>
            <w:r>
              <w:rPr>
                <w:rFonts w:hint="eastAsia" w:ascii="Times New Roman" w:hAnsi="Times New Roman" w:eastAsia="宋体" w:cs="宋体"/>
                <w:color w:val="auto"/>
                <w:kern w:val="2"/>
                <w:sz w:val="21"/>
                <w:szCs w:val="24"/>
                <w:highlight w:val="none"/>
                <w:lang w:val="en-US" w:eastAsia="zh-CN" w:bidi="ar-SA"/>
              </w:rPr>
              <w:t>供暖</w:t>
            </w:r>
            <w:r>
              <w:rPr>
                <w:rFonts w:hint="eastAsia" w:ascii="Times New Roman" w:hAnsi="Times New Roman" w:eastAsia="宋体" w:cs="宋体"/>
                <w:snapToGrid w:val="0"/>
                <w:color w:val="auto"/>
                <w:sz w:val="21"/>
                <w:szCs w:val="24"/>
                <w:highlight w:val="none"/>
                <w:lang w:val="en-US" w:eastAsia="zh-CN"/>
              </w:rPr>
              <w:t>集中供热</w:t>
            </w:r>
            <w:r>
              <w:rPr>
                <w:rFonts w:hint="eastAsia" w:ascii="Times New Roman" w:hAnsi="Times New Roman" w:eastAsia="宋体" w:cs="宋体"/>
                <w:snapToGrid w:val="0"/>
                <w:color w:val="auto"/>
                <w:sz w:val="21"/>
                <w:szCs w:val="24"/>
                <w:highlight w:val="none"/>
              </w:rPr>
              <w:t>。</w:t>
            </w:r>
            <w:r>
              <w:rPr>
                <w:rFonts w:hint="eastAsia" w:ascii="Times New Roman" w:hAnsi="Times New Roman" w:eastAsia="宋体" w:cs="宋体"/>
                <w:color w:val="auto"/>
                <w:sz w:val="21"/>
                <w:szCs w:val="24"/>
                <w:highlight w:val="none"/>
                <w:lang w:val="en-US" w:eastAsia="zh-CN"/>
              </w:rPr>
              <w:t>锅炉采取旋风除尘器+布袋除尘器</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去除</w:t>
            </w:r>
            <w:r>
              <w:rPr>
                <w:rFonts w:hint="eastAsia" w:ascii="Times New Roman" w:hAnsi="Times New Roman" w:eastAsia="宋体" w:cs="宋体"/>
                <w:color w:val="auto"/>
                <w:sz w:val="21"/>
                <w:szCs w:val="24"/>
                <w:highlight w:val="none"/>
              </w:rPr>
              <w:t>效率为</w:t>
            </w:r>
            <w:r>
              <w:rPr>
                <w:rFonts w:hint="eastAsia" w:ascii="Times New Roman" w:hAnsi="Times New Roman" w:eastAsia="宋体" w:cs="宋体"/>
                <w:color w:val="auto"/>
                <w:sz w:val="21"/>
                <w:szCs w:val="24"/>
                <w:highlight w:val="none"/>
                <w:lang w:eastAsia="zh-CN"/>
              </w:rPr>
              <w:t>99</w:t>
            </w:r>
            <w:r>
              <w:rPr>
                <w:rFonts w:hint="eastAsia" w:ascii="Times New Roman" w:hAnsi="Times New Roman" w:eastAsia="宋体" w:cs="宋体"/>
                <w:color w:val="auto"/>
                <w:sz w:val="21"/>
                <w:szCs w:val="24"/>
                <w:highlight w:val="none"/>
                <w:lang w:val="en-US" w:eastAsia="zh-CN"/>
              </w:rPr>
              <w:t>.</w:t>
            </w:r>
            <w:r>
              <w:rPr>
                <w:rFonts w:hint="eastAsia" w:cs="宋体"/>
                <w:color w:val="auto"/>
                <w:sz w:val="21"/>
                <w:szCs w:val="24"/>
                <w:highlight w:val="none"/>
                <w:lang w:val="en-US" w:eastAsia="zh-CN"/>
              </w:rPr>
              <w:t>7</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治理措施</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经处理后的废气</w:t>
            </w:r>
            <w:r>
              <w:rPr>
                <w:rFonts w:hint="eastAsia" w:ascii="Times New Roman" w:hAnsi="Times New Roman" w:eastAsia="宋体" w:cs="宋体"/>
                <w:color w:val="auto"/>
                <w:sz w:val="21"/>
                <w:szCs w:val="24"/>
                <w:highlight w:val="none"/>
              </w:rPr>
              <w:t>由1根</w:t>
            </w:r>
            <w:r>
              <w:rPr>
                <w:rFonts w:hint="eastAsia" w:cs="宋体"/>
                <w:color w:val="auto"/>
                <w:sz w:val="21"/>
                <w:szCs w:val="24"/>
                <w:highlight w:val="none"/>
                <w:lang w:val="en-US" w:eastAsia="zh-CN"/>
              </w:rPr>
              <w:t>35m</w:t>
            </w:r>
            <w:r>
              <w:rPr>
                <w:rFonts w:hint="eastAsia" w:ascii="Times New Roman" w:hAnsi="Times New Roman" w:eastAsia="宋体" w:cs="宋体"/>
                <w:color w:val="auto"/>
                <w:sz w:val="21"/>
                <w:szCs w:val="24"/>
                <w:highlight w:val="none"/>
              </w:rPr>
              <w:t>高烟囱排放</w:t>
            </w:r>
            <w:r>
              <w:rPr>
                <w:rFonts w:hint="eastAsia" w:ascii="Times New Roman" w:hAnsi="Times New Roman" w:eastAsia="宋体" w:cs="宋体"/>
                <w:snapToGrid w:val="0"/>
                <w:color w:val="auto"/>
                <w:sz w:val="21"/>
                <w:szCs w:val="24"/>
                <w:highlight w:val="none"/>
              </w:rPr>
              <w:t>。</w:t>
            </w:r>
            <w:r>
              <w:rPr>
                <w:rFonts w:hint="eastAsia" w:ascii="Times New Roman" w:hAnsi="Times New Roman" w:eastAsia="宋体" w:cs="宋体"/>
                <w:snapToGrid w:val="0"/>
                <w:color w:val="auto"/>
                <w:sz w:val="21"/>
                <w:szCs w:val="24"/>
                <w:highlight w:val="none"/>
                <w:lang w:val="en-US" w:eastAsia="zh-CN"/>
              </w:rPr>
              <w:t>锅炉炉渣及</w:t>
            </w:r>
            <w:r>
              <w:rPr>
                <w:rFonts w:hint="eastAsia" w:ascii="Times New Roman" w:hAnsi="Times New Roman" w:eastAsia="宋体" w:cs="宋体"/>
                <w:snapToGrid w:val="0"/>
                <w:color w:val="auto"/>
                <w:sz w:val="21"/>
                <w:szCs w:val="24"/>
                <w:highlight w:val="none"/>
              </w:rPr>
              <w:t>除尘器</w:t>
            </w:r>
            <w:r>
              <w:rPr>
                <w:rFonts w:hint="eastAsia" w:ascii="Times New Roman" w:hAnsi="Times New Roman" w:eastAsia="宋体" w:cs="宋体"/>
                <w:snapToGrid w:val="0"/>
                <w:color w:val="auto"/>
                <w:sz w:val="21"/>
                <w:szCs w:val="24"/>
                <w:highlight w:val="none"/>
                <w:lang w:val="en-US" w:eastAsia="zh-CN"/>
              </w:rPr>
              <w:t>收尘</w:t>
            </w:r>
            <w:r>
              <w:rPr>
                <w:rFonts w:hint="eastAsia" w:ascii="Times New Roman" w:hAnsi="Times New Roman" w:eastAsia="宋体" w:cs="宋体"/>
                <w:snapToGrid w:val="0"/>
                <w:color w:val="auto"/>
                <w:sz w:val="21"/>
                <w:szCs w:val="24"/>
                <w:highlight w:val="none"/>
              </w:rPr>
              <w:t>灰</w:t>
            </w:r>
            <w:r>
              <w:rPr>
                <w:rFonts w:hint="eastAsia" w:ascii="Times New Roman" w:hAnsi="Times New Roman" w:eastAsia="宋体" w:cs="宋体"/>
                <w:snapToGrid w:val="0"/>
                <w:color w:val="auto"/>
                <w:sz w:val="21"/>
                <w:szCs w:val="24"/>
                <w:highlight w:val="none"/>
                <w:lang w:val="en-US" w:eastAsia="zh-CN"/>
              </w:rPr>
              <w:t>暂存于灰渣间</w:t>
            </w:r>
            <w:r>
              <w:rPr>
                <w:rFonts w:hint="eastAsia" w:ascii="Times New Roman" w:hAnsi="Times New Roman" w:eastAsia="宋体" w:cs="宋体"/>
                <w:snapToGrid w:val="0"/>
                <w:color w:val="auto"/>
                <w:sz w:val="21"/>
                <w:szCs w:val="24"/>
                <w:highlight w:val="none"/>
              </w:rPr>
              <w:t>，</w:t>
            </w:r>
            <w:r>
              <w:rPr>
                <w:rFonts w:hint="eastAsia" w:ascii="Times New Roman" w:hAnsi="Times New Roman" w:eastAsia="宋体" w:cs="宋体"/>
                <w:snapToGrid w:val="0"/>
                <w:color w:val="auto"/>
                <w:sz w:val="21"/>
                <w:szCs w:val="24"/>
                <w:highlight w:val="none"/>
                <w:lang w:val="en-US" w:eastAsia="zh-CN"/>
              </w:rPr>
              <w:t>定期外售</w:t>
            </w:r>
            <w:r>
              <w:rPr>
                <w:rFonts w:hint="eastAsia" w:ascii="Times New Roman" w:hAnsi="Times New Roman" w:eastAsia="宋体" w:cs="宋体"/>
                <w:snapToGrid w:val="0"/>
                <w:color w:val="auto"/>
                <w:sz w:val="21"/>
                <w:szCs w:val="24"/>
                <w:highlight w:val="none"/>
              </w:rPr>
              <w:t>综合利用。</w:t>
            </w:r>
          </w:p>
          <w:p w14:paraId="4BFCC0DA">
            <w:pPr>
              <w:spacing w:line="360" w:lineRule="auto"/>
              <w:ind w:firstLine="422" w:firstLineChars="200"/>
              <w:contextualSpacing/>
              <w:rPr>
                <w:rFonts w:hint="default" w:ascii="Times New Roman" w:hAnsi="Times New Roman" w:cs="Times New Roman" w:eastAsiaTheme="minorEastAsia"/>
                <w:b/>
                <w:bCs/>
                <w:color w:val="auto"/>
                <w:szCs w:val="21"/>
              </w:rPr>
            </w:pPr>
            <w:r>
              <w:rPr>
                <w:rFonts w:hint="default" w:ascii="Times New Roman" w:hAnsi="Times New Roman" w:cs="Times New Roman" w:eastAsiaTheme="minorEastAsia"/>
                <w:b/>
                <w:bCs/>
                <w:color w:val="auto"/>
                <w:szCs w:val="21"/>
              </w:rPr>
              <w:t>产排污环节分析：</w:t>
            </w:r>
          </w:p>
          <w:p w14:paraId="59707A75">
            <w:pPr>
              <w:pStyle w:val="16"/>
              <w:adjustRightInd w:val="0"/>
              <w:spacing w:before="0" w:after="0" w:line="360" w:lineRule="auto"/>
              <w:ind w:right="0" w:firstLine="420" w:firstLineChars="200"/>
              <w:rPr>
                <w:rFonts w:hint="default" w:ascii="Times New Roman" w:hAnsi="Times New Roman" w:cs="Times New Roman" w:eastAsiaTheme="minorEastAsia"/>
                <w:b/>
                <w:color w:val="auto"/>
                <w:szCs w:val="21"/>
              </w:rPr>
            </w:pPr>
            <w:r>
              <w:rPr>
                <w:rFonts w:hint="default" w:ascii="Times New Roman" w:hAnsi="Times New Roman" w:cs="Times New Roman"/>
                <w:bCs/>
                <w:color w:val="auto"/>
                <w:kern w:val="2"/>
                <w:sz w:val="21"/>
                <w:szCs w:val="21"/>
              </w:rPr>
              <w:t>产污节点：</w:t>
            </w:r>
          </w:p>
          <w:p w14:paraId="74B0CB8B">
            <w:pPr>
              <w:autoSpaceDE w:val="0"/>
              <w:autoSpaceDN w:val="0"/>
              <w:adjustRightInd w:val="0"/>
              <w:snapToGrid w:val="0"/>
              <w:spacing w:line="336" w:lineRule="auto"/>
              <w:ind w:firstLine="420" w:firstLineChars="200"/>
              <w:jc w:val="left"/>
              <w:rPr>
                <w:rFonts w:hint="default" w:ascii="Times New Roman" w:hAnsi="Times New Roman" w:cs="Times New Roman"/>
                <w:bCs/>
                <w:color w:val="auto"/>
                <w:szCs w:val="21"/>
              </w:rPr>
            </w:pPr>
            <w:r>
              <w:rPr>
                <w:rFonts w:hint="default" w:ascii="Times New Roman" w:hAnsi="Times New Roman" w:cs="Times New Roman"/>
                <w:bCs/>
                <w:color w:val="auto"/>
                <w:szCs w:val="21"/>
              </w:rPr>
              <w:t>1、废气</w:t>
            </w:r>
          </w:p>
          <w:p w14:paraId="2E7663B1">
            <w:pPr>
              <w:autoSpaceDE w:val="0"/>
              <w:autoSpaceDN w:val="0"/>
              <w:adjustRightInd w:val="0"/>
              <w:snapToGrid w:val="0"/>
              <w:spacing w:line="336" w:lineRule="auto"/>
              <w:ind w:firstLine="420" w:firstLineChars="200"/>
              <w:jc w:val="left"/>
              <w:rPr>
                <w:rFonts w:hint="default" w:ascii="Times New Roman" w:hAnsi="Times New Roman" w:cs="Times New Roman"/>
                <w:bCs/>
                <w:color w:val="auto"/>
                <w:szCs w:val="21"/>
              </w:rPr>
            </w:pPr>
            <w:r>
              <w:rPr>
                <w:rFonts w:hint="default" w:ascii="Times New Roman" w:hAnsi="Times New Roman" w:cs="Times New Roman"/>
                <w:bCs/>
                <w:color w:val="auto"/>
                <w:szCs w:val="21"/>
              </w:rPr>
              <w:t>本项目废气</w:t>
            </w:r>
            <w:r>
              <w:rPr>
                <w:rFonts w:hint="eastAsia" w:cs="Times New Roman"/>
                <w:bCs/>
                <w:color w:val="auto"/>
                <w:szCs w:val="21"/>
                <w:lang w:val="en-US" w:eastAsia="zh-CN"/>
              </w:rPr>
              <w:t>主要</w:t>
            </w:r>
            <w:r>
              <w:rPr>
                <w:rFonts w:hint="default" w:ascii="Times New Roman" w:hAnsi="Times New Roman" w:cs="Times New Roman"/>
                <w:bCs/>
                <w:color w:val="auto"/>
                <w:szCs w:val="21"/>
              </w:rPr>
              <w:t>为锅炉烟气，污染物主要为颗粒物、二氧化硫、氮氧化物和烟气黑度。</w:t>
            </w:r>
          </w:p>
          <w:p w14:paraId="0EDC8ACB">
            <w:pPr>
              <w:autoSpaceDE w:val="0"/>
              <w:autoSpaceDN w:val="0"/>
              <w:adjustRightInd w:val="0"/>
              <w:snapToGrid w:val="0"/>
              <w:spacing w:line="336" w:lineRule="auto"/>
              <w:ind w:firstLine="420" w:firstLineChars="200"/>
              <w:jc w:val="left"/>
              <w:rPr>
                <w:rFonts w:hint="default" w:ascii="Times New Roman" w:hAnsi="Times New Roman" w:cs="Times New Roman"/>
                <w:bCs/>
                <w:color w:val="auto"/>
                <w:szCs w:val="21"/>
              </w:rPr>
            </w:pPr>
            <w:r>
              <w:rPr>
                <w:rFonts w:hint="default" w:ascii="Times New Roman" w:hAnsi="Times New Roman" w:cs="Times New Roman"/>
                <w:bCs/>
                <w:color w:val="auto"/>
                <w:szCs w:val="21"/>
              </w:rPr>
              <w:t>2、废水</w:t>
            </w:r>
          </w:p>
          <w:p w14:paraId="7CA904B0">
            <w:pPr>
              <w:autoSpaceDE w:val="0"/>
              <w:autoSpaceDN w:val="0"/>
              <w:adjustRightInd w:val="0"/>
              <w:snapToGrid w:val="0"/>
              <w:spacing w:line="336" w:lineRule="auto"/>
              <w:ind w:firstLine="420" w:firstLineChars="200"/>
              <w:jc w:val="left"/>
              <w:rPr>
                <w:rFonts w:hint="default" w:ascii="Times New Roman" w:hAnsi="Times New Roman" w:cs="Times New Roman"/>
                <w:bCs/>
                <w:color w:val="auto"/>
                <w:szCs w:val="21"/>
              </w:rPr>
            </w:pPr>
            <w:r>
              <w:rPr>
                <w:rFonts w:hint="default" w:ascii="Times New Roman" w:hAnsi="Times New Roman" w:cs="Times New Roman"/>
                <w:bCs/>
                <w:color w:val="auto"/>
                <w:szCs w:val="21"/>
              </w:rPr>
              <w:t>本项目废水主要为锅炉排污水</w:t>
            </w:r>
            <w:r>
              <w:rPr>
                <w:rFonts w:hint="default" w:ascii="Times New Roman" w:hAnsi="Times New Roman" w:cs="Times New Roman"/>
                <w:bCs/>
                <w:color w:val="auto"/>
                <w:szCs w:val="21"/>
                <w:lang w:val="en-US" w:eastAsia="zh-CN"/>
              </w:rPr>
              <w:t>及软化设备废水</w:t>
            </w:r>
            <w:r>
              <w:rPr>
                <w:rFonts w:hint="default" w:ascii="Times New Roman" w:hAnsi="Times New Roman" w:cs="Times New Roman"/>
                <w:bCs/>
                <w:color w:val="auto"/>
                <w:szCs w:val="21"/>
              </w:rPr>
              <w:t>主要污染物为</w:t>
            </w:r>
            <w:r>
              <w:rPr>
                <w:rFonts w:hint="eastAsia" w:cs="Times New Roman"/>
                <w:bCs/>
                <w:color w:val="auto"/>
                <w:szCs w:val="21"/>
                <w:lang w:val="en-US" w:eastAsia="zh-CN"/>
              </w:rPr>
              <w:t>pH、</w:t>
            </w:r>
            <w:r>
              <w:rPr>
                <w:rFonts w:hint="default" w:ascii="Times New Roman" w:hAnsi="Times New Roman" w:cs="Times New Roman"/>
                <w:bCs/>
                <w:color w:val="auto"/>
                <w:szCs w:val="21"/>
              </w:rPr>
              <w:t>COD</w:t>
            </w:r>
            <w:r>
              <w:rPr>
                <w:rFonts w:hint="default" w:ascii="Times New Roman" w:hAnsi="Times New Roman" w:cs="Times New Roman"/>
                <w:color w:val="auto"/>
                <w:szCs w:val="21"/>
                <w:vertAlign w:val="baseline"/>
                <w:lang w:eastAsia="zh-CN"/>
              </w:rPr>
              <w:t>、</w:t>
            </w:r>
            <w:r>
              <w:rPr>
                <w:rFonts w:hint="default" w:ascii="Times New Roman" w:hAnsi="Times New Roman" w:cs="Times New Roman"/>
                <w:color w:val="auto"/>
                <w:szCs w:val="21"/>
                <w:vertAlign w:val="baseline"/>
                <w:lang w:val="en-US" w:eastAsia="zh-CN"/>
              </w:rPr>
              <w:t>溶解性总固体</w:t>
            </w:r>
            <w:r>
              <w:rPr>
                <w:rFonts w:hint="default" w:ascii="Times New Roman" w:hAnsi="Times New Roman" w:cs="Times New Roman"/>
                <w:bCs/>
                <w:color w:val="auto"/>
                <w:szCs w:val="21"/>
              </w:rPr>
              <w:t>。</w:t>
            </w:r>
          </w:p>
          <w:p w14:paraId="4FF60639">
            <w:pPr>
              <w:autoSpaceDE w:val="0"/>
              <w:autoSpaceDN w:val="0"/>
              <w:adjustRightInd w:val="0"/>
              <w:snapToGrid w:val="0"/>
              <w:spacing w:line="336" w:lineRule="auto"/>
              <w:ind w:firstLine="420" w:firstLineChars="200"/>
              <w:jc w:val="left"/>
              <w:rPr>
                <w:rFonts w:hint="default" w:ascii="Times New Roman" w:hAnsi="Times New Roman" w:cs="Times New Roman"/>
                <w:bCs/>
                <w:color w:val="auto"/>
                <w:szCs w:val="21"/>
              </w:rPr>
            </w:pPr>
            <w:r>
              <w:rPr>
                <w:rFonts w:hint="default" w:ascii="Times New Roman" w:hAnsi="Times New Roman" w:cs="Times New Roman"/>
                <w:bCs/>
                <w:color w:val="auto"/>
                <w:szCs w:val="21"/>
              </w:rPr>
              <w:t>3、噪声</w:t>
            </w:r>
          </w:p>
          <w:p w14:paraId="7660DF6F">
            <w:pPr>
              <w:autoSpaceDE w:val="0"/>
              <w:autoSpaceDN w:val="0"/>
              <w:adjustRightInd w:val="0"/>
              <w:snapToGrid w:val="0"/>
              <w:spacing w:line="336" w:lineRule="auto"/>
              <w:ind w:firstLine="420" w:firstLineChars="200"/>
              <w:jc w:val="left"/>
              <w:rPr>
                <w:rFonts w:hint="default" w:ascii="Times New Roman" w:hAnsi="Times New Roman" w:cs="Times New Roman"/>
                <w:bCs/>
                <w:color w:val="auto"/>
                <w:szCs w:val="21"/>
              </w:rPr>
            </w:pPr>
            <w:r>
              <w:rPr>
                <w:rFonts w:hint="default" w:ascii="Times New Roman" w:hAnsi="Times New Roman" w:cs="Times New Roman"/>
                <w:bCs/>
                <w:color w:val="auto"/>
                <w:szCs w:val="21"/>
              </w:rPr>
              <w:t>本项目噪声主要</w:t>
            </w:r>
            <w:r>
              <w:rPr>
                <w:rFonts w:hint="default" w:ascii="Times New Roman" w:hAnsi="Times New Roman" w:cs="Times New Roman"/>
                <w:bCs/>
                <w:color w:val="auto"/>
                <w:szCs w:val="21"/>
                <w:highlight w:val="none"/>
              </w:rPr>
              <w:t>为锅炉运行时风机、水泵产生的</w:t>
            </w:r>
            <w:r>
              <w:rPr>
                <w:rFonts w:hint="default" w:ascii="Times New Roman" w:hAnsi="Times New Roman" w:cs="Times New Roman"/>
                <w:bCs/>
                <w:color w:val="auto"/>
                <w:szCs w:val="21"/>
              </w:rPr>
              <w:t>噪声。</w:t>
            </w:r>
          </w:p>
          <w:p w14:paraId="5D7441D6">
            <w:pPr>
              <w:autoSpaceDE w:val="0"/>
              <w:autoSpaceDN w:val="0"/>
              <w:adjustRightInd w:val="0"/>
              <w:snapToGrid w:val="0"/>
              <w:spacing w:line="336" w:lineRule="auto"/>
              <w:ind w:firstLine="420" w:firstLineChars="200"/>
              <w:jc w:val="left"/>
              <w:rPr>
                <w:rFonts w:hint="default" w:ascii="Times New Roman" w:hAnsi="Times New Roman" w:cs="Times New Roman"/>
                <w:bCs/>
                <w:color w:val="auto"/>
                <w:szCs w:val="21"/>
              </w:rPr>
            </w:pPr>
            <w:r>
              <w:rPr>
                <w:rFonts w:hint="default" w:ascii="Times New Roman" w:hAnsi="Times New Roman" w:cs="Times New Roman"/>
                <w:bCs/>
                <w:color w:val="auto"/>
                <w:szCs w:val="21"/>
              </w:rPr>
              <w:t>4、固体废物</w:t>
            </w:r>
          </w:p>
          <w:p w14:paraId="71FD3E4E">
            <w:pPr>
              <w:spacing w:line="360" w:lineRule="auto"/>
              <w:ind w:firstLine="420" w:firstLineChars="200"/>
              <w:contextualSpacing/>
              <w:rPr>
                <w:rFonts w:hint="default" w:ascii="Times New Roman" w:hAnsi="Times New Roman" w:eastAsia="宋体" w:cs="Times New Roman"/>
                <w:color w:val="auto"/>
                <w:kern w:val="0"/>
                <w:szCs w:val="21"/>
                <w:lang w:eastAsia="zh-CN"/>
              </w:rPr>
            </w:pPr>
            <w:r>
              <w:rPr>
                <w:rFonts w:hint="default" w:ascii="Times New Roman" w:hAnsi="Times New Roman" w:cs="Times New Roman" w:eastAsiaTheme="minorEastAsia"/>
                <w:color w:val="auto"/>
                <w:kern w:val="0"/>
                <w:szCs w:val="21"/>
              </w:rPr>
              <w:t>本项目固体废物主要为布袋除尘器定期维护检修产生的废布袋、</w:t>
            </w:r>
            <w:r>
              <w:rPr>
                <w:rFonts w:hint="default" w:ascii="Times New Roman" w:hAnsi="Times New Roman" w:cs="Times New Roman"/>
                <w:color w:val="auto"/>
                <w:szCs w:val="21"/>
              </w:rPr>
              <w:t>除尘器除尘灰</w:t>
            </w:r>
            <w:r>
              <w:rPr>
                <w:rFonts w:hint="eastAsia" w:cs="Times New Roman"/>
                <w:color w:val="auto"/>
                <w:szCs w:val="21"/>
                <w:lang w:eastAsia="zh-CN"/>
              </w:rPr>
              <w:t>、</w:t>
            </w:r>
            <w:r>
              <w:rPr>
                <w:rFonts w:hint="eastAsia" w:cs="Times New Roman"/>
                <w:color w:val="auto"/>
                <w:szCs w:val="21"/>
                <w:lang w:val="en-US" w:eastAsia="zh-CN"/>
              </w:rPr>
              <w:t>锅炉灰渣</w:t>
            </w:r>
            <w:r>
              <w:rPr>
                <w:rFonts w:hint="eastAsia" w:cs="Times New Roman"/>
                <w:color w:val="auto"/>
                <w:szCs w:val="21"/>
                <w:lang w:eastAsia="zh-CN"/>
              </w:rPr>
              <w:t>、</w:t>
            </w:r>
            <w:r>
              <w:rPr>
                <w:rFonts w:hint="eastAsia" w:cs="Times New Roman"/>
                <w:color w:val="auto"/>
                <w:szCs w:val="21"/>
                <w:lang w:val="en-US" w:eastAsia="zh-CN"/>
              </w:rPr>
              <w:t>废反渗透膜</w:t>
            </w:r>
            <w:r>
              <w:rPr>
                <w:rFonts w:hint="default" w:ascii="Times New Roman" w:hAnsi="Times New Roman" w:cs="Times New Roman"/>
                <w:color w:val="auto"/>
                <w:szCs w:val="21"/>
                <w:lang w:eastAsia="zh-CN"/>
              </w:rPr>
              <w:t>。</w:t>
            </w:r>
          </w:p>
          <w:p w14:paraId="5813F228">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eastAsia="宋体" w:cs="宋体"/>
                <w:b/>
                <w:bCs/>
                <w:color w:val="auto"/>
                <w:sz w:val="21"/>
                <w:szCs w:val="24"/>
                <w:highlight w:val="none"/>
              </w:rPr>
            </w:pPr>
            <w:r>
              <w:rPr>
                <w:rFonts w:hint="default" w:ascii="Times New Roman" w:hAnsi="Times New Roman" w:cs="Times New Roman" w:eastAsiaTheme="minorEastAsia"/>
                <w:color w:val="auto"/>
                <w:kern w:val="0"/>
                <w:szCs w:val="21"/>
              </w:rPr>
              <w:t>综上，本项目运营期污染影响主要为</w:t>
            </w:r>
            <w:r>
              <w:rPr>
                <w:rFonts w:hint="default" w:ascii="Times New Roman" w:hAnsi="Times New Roman" w:cs="Times New Roman" w:eastAsiaTheme="minorEastAsia"/>
                <w:color w:val="auto"/>
                <w:kern w:val="0"/>
                <w:szCs w:val="21"/>
                <w:lang w:val="en-US" w:eastAsia="zh-CN"/>
              </w:rPr>
              <w:t>锅炉烟气</w:t>
            </w:r>
            <w:r>
              <w:rPr>
                <w:rFonts w:hint="default" w:ascii="Times New Roman" w:hAnsi="Times New Roman" w:cs="Times New Roman" w:eastAsiaTheme="minorEastAsia"/>
                <w:color w:val="auto"/>
                <w:kern w:val="0"/>
                <w:szCs w:val="21"/>
              </w:rPr>
              <w:t>、</w:t>
            </w:r>
            <w:r>
              <w:rPr>
                <w:rFonts w:hint="default" w:ascii="Times New Roman" w:hAnsi="Times New Roman" w:cs="Times New Roman"/>
                <w:bCs/>
                <w:color w:val="auto"/>
                <w:szCs w:val="21"/>
              </w:rPr>
              <w:t>锅炉排污水</w:t>
            </w:r>
            <w:r>
              <w:rPr>
                <w:rFonts w:hint="default" w:ascii="Times New Roman" w:hAnsi="Times New Roman" w:cs="Times New Roman"/>
                <w:bCs/>
                <w:color w:val="auto"/>
                <w:szCs w:val="21"/>
                <w:lang w:val="en-US" w:eastAsia="zh-CN"/>
              </w:rPr>
              <w:t>及软化设备废水、设备噪音、</w:t>
            </w:r>
            <w:r>
              <w:rPr>
                <w:rFonts w:hint="default" w:ascii="Times New Roman" w:hAnsi="Times New Roman" w:cs="Times New Roman" w:eastAsiaTheme="minorEastAsia"/>
                <w:color w:val="auto"/>
                <w:kern w:val="0"/>
                <w:szCs w:val="21"/>
              </w:rPr>
              <w:t>固体废物等环境的影响。</w:t>
            </w:r>
          </w:p>
        </w:tc>
      </w:tr>
      <w:tr w14:paraId="1B8C72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23" w:type="dxa"/>
            <w:noWrap w:val="0"/>
            <w:vAlign w:val="center"/>
          </w:tcPr>
          <w:p w14:paraId="19AC2189">
            <w:pPr>
              <w:pStyle w:val="36"/>
              <w:adjustRightInd w:val="0"/>
              <w:snapToGrid w:val="0"/>
              <w:spacing w:before="0" w:beforeAutospacing="0" w:after="0" w:afterAutospacing="0"/>
              <w:jc w:val="center"/>
              <w:rPr>
                <w:rFonts w:hint="eastAsia" w:ascii="Times New Roman" w:hAnsi="Times New Roman" w:eastAsia="宋体" w:cs="宋体"/>
                <w:color w:val="auto"/>
                <w:sz w:val="21"/>
                <w:szCs w:val="21"/>
                <w:highlight w:val="none"/>
              </w:rPr>
            </w:pPr>
            <w:r>
              <w:rPr>
                <w:rFonts w:hint="eastAsia" w:ascii="Times New Roman" w:hAnsi="Times New Roman" w:eastAsia="宋体" w:cs="宋体"/>
                <w:bCs/>
                <w:color w:val="auto"/>
                <w:kern w:val="2"/>
                <w:sz w:val="21"/>
                <w:szCs w:val="21"/>
                <w:highlight w:val="none"/>
              </w:rPr>
              <w:t>与项目有关的原有环境污染问题</w:t>
            </w:r>
          </w:p>
        </w:tc>
        <w:tc>
          <w:tcPr>
            <w:tcW w:w="8142" w:type="dxa"/>
            <w:noWrap w:val="0"/>
            <w:vAlign w:val="top"/>
          </w:tcPr>
          <w:p w14:paraId="579B02A1">
            <w:pPr>
              <w:pStyle w:val="4"/>
              <w:keepLines w:val="0"/>
              <w:pageBreakBefore w:val="0"/>
              <w:kinsoku/>
              <w:wordWrap/>
              <w:overflowPunct/>
              <w:topLinePunct w:val="0"/>
              <w:autoSpaceDE/>
              <w:autoSpaceDN/>
              <w:bidi w:val="0"/>
              <w:spacing w:before="0" w:beforeLines="0" w:after="0" w:afterLines="0" w:line="360" w:lineRule="auto"/>
              <w:textAlignment w:val="auto"/>
              <w:rPr>
                <w:rFonts w:hint="eastAsia" w:ascii="Times New Roman" w:hAnsi="Times New Roman" w:eastAsia="宋体" w:cs="宋体"/>
                <w:color w:val="auto"/>
                <w:sz w:val="21"/>
                <w:szCs w:val="24"/>
                <w:highlight w:val="none"/>
              </w:rPr>
            </w:pPr>
            <w:bookmarkStart w:id="20" w:name="_Toc21881"/>
            <w:bookmarkStart w:id="21" w:name="_Toc6135"/>
            <w:r>
              <w:rPr>
                <w:rFonts w:hint="eastAsia" w:ascii="Times New Roman" w:hAnsi="Times New Roman" w:eastAsia="宋体" w:cs="宋体"/>
                <w:color w:val="auto"/>
                <w:sz w:val="21"/>
                <w:szCs w:val="24"/>
                <w:highlight w:val="none"/>
              </w:rPr>
              <w:t>与本项目有关的原有污染情况及主要环境问题</w:t>
            </w:r>
            <w:bookmarkEnd w:id="20"/>
            <w:bookmarkEnd w:id="21"/>
          </w:p>
          <w:p w14:paraId="1327D2BA">
            <w:pPr>
              <w:keepNext w:val="0"/>
              <w:keepLines w:val="0"/>
              <w:pageBreakBefore w:val="0"/>
              <w:widowControl w:val="0"/>
              <w:kinsoku/>
              <w:wordWrap/>
              <w:overflowPunct/>
              <w:topLinePunct w:val="0"/>
              <w:autoSpaceDE/>
              <w:autoSpaceDN/>
              <w:bidi w:val="0"/>
              <w:adjustRightInd/>
              <w:snapToGrid/>
              <w:spacing w:line="360" w:lineRule="auto"/>
              <w:ind w:firstLine="422" w:firstLineChars="200"/>
              <w:contextualSpacing/>
              <w:jc w:val="left"/>
              <w:textAlignment w:val="auto"/>
              <w:rPr>
                <w:rFonts w:hint="eastAsia" w:ascii="Times New Roman" w:hAnsi="Times New Roman" w:eastAsia="宋体" w:cs="宋体"/>
                <w:b/>
                <w:bCs/>
                <w:color w:val="auto"/>
                <w:sz w:val="21"/>
                <w:highlight w:val="none"/>
              </w:rPr>
            </w:pPr>
            <w:r>
              <w:rPr>
                <w:rFonts w:hint="eastAsia" w:ascii="Times New Roman" w:hAnsi="Times New Roman" w:eastAsia="宋体" w:cs="宋体"/>
                <w:b/>
                <w:bCs/>
                <w:color w:val="auto"/>
                <w:sz w:val="21"/>
                <w:highlight w:val="none"/>
              </w:rPr>
              <w:t>1、现有工程履行环境影响评价，竣工环境保护验收、排污许可手续等情况</w:t>
            </w:r>
          </w:p>
          <w:p w14:paraId="2B0C56CB">
            <w:pPr>
              <w:pStyle w:val="105"/>
              <w:spacing w:line="360" w:lineRule="auto"/>
              <w:ind w:firstLine="480"/>
              <w:jc w:val="both"/>
              <w:rPr>
                <w:rFonts w:hint="eastAsia" w:ascii="Times New Roman" w:hAnsi="Times New Roman" w:eastAsia="宋体" w:cs="宋体"/>
                <w:b w:val="0"/>
                <w:bCs w:val="0"/>
                <w:color w:val="auto"/>
                <w:sz w:val="21"/>
                <w:highlight w:val="none"/>
                <w:lang w:val="en-US" w:eastAsia="zh-CN"/>
              </w:rPr>
            </w:pPr>
            <w:r>
              <w:rPr>
                <w:rFonts w:hint="eastAsia" w:ascii="Times New Roman" w:hAnsi="Times New Roman" w:eastAsia="宋体" w:cs="宋体"/>
                <w:b w:val="0"/>
                <w:bCs w:val="0"/>
                <w:color w:val="auto"/>
                <w:sz w:val="21"/>
                <w:highlight w:val="none"/>
                <w:lang w:val="en-US" w:eastAsia="zh-CN"/>
              </w:rPr>
              <w:t>现有工程主要建设1台2.8MW燃煤锅炉用于铁力农资农机种子综合大市场供暖，2013年</w:t>
            </w:r>
            <w:r>
              <w:rPr>
                <w:rFonts w:hint="default" w:ascii="Times New Roman" w:hAnsi="Times New Roman" w:eastAsia="宋体" w:cs="宋体"/>
                <w:b w:val="0"/>
                <w:bCs w:val="0"/>
                <w:color w:val="auto"/>
                <w:sz w:val="21"/>
                <w:highlight w:val="none"/>
                <w:lang w:val="en-US" w:eastAsia="zh-CN"/>
              </w:rPr>
              <w:t>编制了《铁力市红博农资销售有限责任公司新建锅炉房项目</w:t>
            </w:r>
            <w:r>
              <w:rPr>
                <w:rFonts w:hint="eastAsia" w:cs="宋体"/>
                <w:b w:val="0"/>
                <w:bCs w:val="0"/>
                <w:color w:val="auto"/>
                <w:sz w:val="21"/>
                <w:highlight w:val="none"/>
                <w:lang w:val="en-US" w:eastAsia="zh-CN"/>
              </w:rPr>
              <w:t>报告表</w:t>
            </w:r>
            <w:r>
              <w:rPr>
                <w:rFonts w:hint="default" w:ascii="Times New Roman" w:hAnsi="Times New Roman" w:eastAsia="宋体" w:cs="宋体"/>
                <w:b w:val="0"/>
                <w:bCs w:val="0"/>
                <w:color w:val="auto"/>
                <w:sz w:val="21"/>
                <w:highlight w:val="none"/>
                <w:lang w:val="en-US" w:eastAsia="zh-CN"/>
              </w:rPr>
              <w:t>》</w:t>
            </w:r>
            <w:r>
              <w:rPr>
                <w:rFonts w:hint="eastAsia" w:ascii="Times New Roman" w:hAnsi="Times New Roman" w:eastAsia="宋体" w:cs="宋体"/>
                <w:b w:val="0"/>
                <w:bCs w:val="0"/>
                <w:color w:val="auto"/>
                <w:sz w:val="21"/>
                <w:highlight w:val="none"/>
                <w:lang w:val="en-US" w:eastAsia="zh-CN"/>
              </w:rPr>
              <w:t>，于2013年</w:t>
            </w:r>
            <w:r>
              <w:rPr>
                <w:rFonts w:hint="eastAsia" w:cs="宋体"/>
                <w:b w:val="0"/>
                <w:bCs w:val="0"/>
                <w:color w:val="auto"/>
                <w:sz w:val="21"/>
                <w:highlight w:val="none"/>
                <w:lang w:val="en-US" w:eastAsia="zh-CN"/>
              </w:rPr>
              <w:t>6月26日</w:t>
            </w:r>
            <w:r>
              <w:rPr>
                <w:rFonts w:hint="eastAsia" w:ascii="Times New Roman" w:hAnsi="Times New Roman" w:eastAsia="宋体" w:cs="宋体"/>
                <w:b w:val="0"/>
                <w:bCs w:val="0"/>
                <w:color w:val="auto"/>
                <w:sz w:val="21"/>
                <w:highlight w:val="none"/>
                <w:lang w:val="en-US" w:eastAsia="zh-CN"/>
              </w:rPr>
              <w:t>取得《关于铁力市红博农资销售有限责任公司建设项目项目竣工环境保护验收申请的批复》伊环验[2013]33号，于2025年8月11日进行排污许可登记管理，登记编号为91230781556139745A001Y。本次项目对现有1台2.8MW燃煤锅炉改造成1台2.8MW燃生物质锅炉，现有1台2.8MW燃煤锅炉尚未进行改造。</w:t>
            </w:r>
          </w:p>
          <w:p w14:paraId="4A37D4B3">
            <w:pPr>
              <w:adjustRightInd w:val="0"/>
              <w:snapToGrid w:val="0"/>
              <w:spacing w:line="360" w:lineRule="auto"/>
              <w:ind w:firstLine="422" w:firstLineChars="200"/>
              <w:rPr>
                <w:rFonts w:hint="eastAsia" w:ascii="Times New Roman" w:hAnsi="Times New Roman" w:eastAsia="宋体" w:cs="宋体"/>
                <w:b/>
                <w:bCs/>
                <w:color w:val="auto"/>
                <w:sz w:val="21"/>
                <w:highlight w:val="none"/>
              </w:rPr>
            </w:pPr>
            <w:r>
              <w:rPr>
                <w:rFonts w:hint="eastAsia" w:ascii="Times New Roman" w:hAnsi="Times New Roman" w:eastAsia="宋体" w:cs="宋体"/>
                <w:b/>
                <w:bCs/>
                <w:color w:val="auto"/>
                <w:sz w:val="21"/>
                <w:highlight w:val="none"/>
                <w:lang w:val="en-US" w:eastAsia="zh-CN"/>
              </w:rPr>
              <w:t>2</w:t>
            </w:r>
            <w:r>
              <w:rPr>
                <w:rFonts w:hint="eastAsia" w:ascii="Times New Roman" w:hAnsi="Times New Roman" w:eastAsia="宋体" w:cs="宋体"/>
                <w:b/>
                <w:bCs/>
                <w:color w:val="auto"/>
                <w:sz w:val="21"/>
                <w:highlight w:val="none"/>
              </w:rPr>
              <w:t>、现有工程排污情况</w:t>
            </w:r>
          </w:p>
          <w:p w14:paraId="5C73FDAF">
            <w:pPr>
              <w:pStyle w:val="105"/>
              <w:spacing w:line="360" w:lineRule="auto"/>
              <w:ind w:firstLine="480"/>
              <w:jc w:val="both"/>
              <w:rPr>
                <w:rFonts w:hint="eastAsia" w:ascii="Times New Roman" w:hAnsi="Times New Roman" w:eastAsia="宋体" w:cs="宋体"/>
                <w:b w:val="0"/>
                <w:bCs w:val="0"/>
                <w:color w:val="auto"/>
                <w:kern w:val="24"/>
                <w:sz w:val="21"/>
                <w:szCs w:val="24"/>
                <w:highlight w:val="none"/>
                <w:lang w:eastAsia="zh-CN"/>
              </w:rPr>
            </w:pPr>
            <w:r>
              <w:rPr>
                <w:rFonts w:hint="eastAsia" w:ascii="Times New Roman" w:hAnsi="Times New Roman" w:eastAsia="宋体" w:cs="宋体"/>
                <w:b w:val="0"/>
                <w:bCs w:val="0"/>
                <w:color w:val="auto"/>
                <w:sz w:val="21"/>
                <w:highlight w:val="none"/>
                <w:lang w:val="en-US" w:eastAsia="zh-CN"/>
              </w:rPr>
              <w:t>现有工程主要</w:t>
            </w:r>
            <w:r>
              <w:rPr>
                <w:rFonts w:hint="eastAsia" w:cs="宋体"/>
                <w:b w:val="0"/>
                <w:bCs w:val="0"/>
                <w:color w:val="auto"/>
                <w:sz w:val="21"/>
                <w:highlight w:val="none"/>
                <w:lang w:val="en-US" w:eastAsia="zh-CN"/>
              </w:rPr>
              <w:t>有</w:t>
            </w:r>
            <w:r>
              <w:rPr>
                <w:rFonts w:hint="eastAsia" w:ascii="Times New Roman" w:hAnsi="Times New Roman" w:eastAsia="宋体" w:cs="宋体"/>
                <w:b w:val="0"/>
                <w:bCs w:val="0"/>
                <w:color w:val="auto"/>
                <w:sz w:val="21"/>
                <w:highlight w:val="none"/>
                <w:lang w:val="en-US" w:eastAsia="zh-CN"/>
              </w:rPr>
              <w:t>1台</w:t>
            </w:r>
            <w:r>
              <w:rPr>
                <w:rFonts w:hint="eastAsia" w:ascii="Times New Roman" w:hAnsi="Times New Roman" w:eastAsia="宋体" w:cs="宋体"/>
                <w:b w:val="0"/>
                <w:bCs w:val="0"/>
                <w:color w:val="auto"/>
                <w:kern w:val="2"/>
                <w:sz w:val="21"/>
                <w:szCs w:val="24"/>
                <w:highlight w:val="none"/>
                <w:lang w:val="en-US" w:eastAsia="zh-CN" w:bidi="ar-SA"/>
              </w:rPr>
              <w:t>2.8MW燃煤锅炉用于</w:t>
            </w:r>
            <w:r>
              <w:rPr>
                <w:rFonts w:hint="eastAsia" w:ascii="Times New Roman" w:hAnsi="Times New Roman" w:cs="宋体"/>
                <w:b w:val="0"/>
                <w:bCs/>
                <w:color w:val="auto"/>
                <w:kern w:val="2"/>
                <w:sz w:val="21"/>
                <w:szCs w:val="24"/>
                <w:highlight w:val="none"/>
                <w:lang w:val="en-US" w:eastAsia="zh-CN" w:bidi="ar-SA"/>
              </w:rPr>
              <w:t>铁力农资农机种子综合大市场</w:t>
            </w:r>
            <w:r>
              <w:rPr>
                <w:rFonts w:hint="eastAsia" w:ascii="Times New Roman" w:hAnsi="Times New Roman" w:eastAsia="宋体" w:cs="宋体"/>
                <w:b w:val="0"/>
                <w:bCs/>
                <w:color w:val="auto"/>
                <w:kern w:val="2"/>
                <w:sz w:val="21"/>
                <w:szCs w:val="24"/>
                <w:highlight w:val="none"/>
                <w:lang w:val="en-US" w:eastAsia="zh-CN" w:bidi="ar-SA"/>
              </w:rPr>
              <w:t>供</w:t>
            </w:r>
            <w:r>
              <w:rPr>
                <w:rFonts w:hint="eastAsia" w:ascii="Times New Roman" w:hAnsi="Times New Roman" w:eastAsia="宋体" w:cs="宋体"/>
                <w:b w:val="0"/>
                <w:bCs w:val="0"/>
                <w:color w:val="auto"/>
                <w:kern w:val="2"/>
                <w:sz w:val="21"/>
                <w:szCs w:val="24"/>
                <w:highlight w:val="none"/>
                <w:lang w:val="en-US" w:eastAsia="zh-CN" w:bidi="ar-SA"/>
              </w:rPr>
              <w:t>暖，供暖面积为</w:t>
            </w:r>
            <w:r>
              <w:rPr>
                <w:rFonts w:hint="eastAsia" w:cs="宋体"/>
                <w:b w:val="0"/>
                <w:bCs w:val="0"/>
                <w:color w:val="auto"/>
                <w:kern w:val="2"/>
                <w:sz w:val="21"/>
                <w:szCs w:val="24"/>
                <w:highlight w:val="none"/>
                <w:lang w:val="en-US" w:eastAsia="zh-CN" w:bidi="ar-SA"/>
              </w:rPr>
              <w:t>12</w:t>
            </w:r>
            <w:r>
              <w:rPr>
                <w:rFonts w:hint="eastAsia" w:ascii="Times New Roman" w:hAnsi="Times New Roman" w:eastAsia="宋体" w:cs="宋体"/>
                <w:b w:val="0"/>
                <w:bCs w:val="0"/>
                <w:color w:val="auto"/>
                <w:kern w:val="2"/>
                <w:sz w:val="21"/>
                <w:szCs w:val="24"/>
                <w:highlight w:val="none"/>
                <w:lang w:val="en-US" w:eastAsia="zh-CN" w:bidi="ar-SA"/>
              </w:rPr>
              <w:t>000m</w:t>
            </w:r>
            <w:r>
              <w:rPr>
                <w:rFonts w:hint="eastAsia" w:ascii="Times New Roman" w:hAnsi="Times New Roman" w:eastAsia="宋体" w:cs="宋体"/>
                <w:b w:val="0"/>
                <w:bCs w:val="0"/>
                <w:color w:val="auto"/>
                <w:kern w:val="2"/>
                <w:sz w:val="21"/>
                <w:szCs w:val="24"/>
                <w:highlight w:val="none"/>
                <w:vertAlign w:val="superscript"/>
                <w:lang w:val="en-US" w:eastAsia="zh-CN" w:bidi="ar-SA"/>
              </w:rPr>
              <w:t>2</w:t>
            </w:r>
            <w:r>
              <w:rPr>
                <w:rFonts w:hint="eastAsia" w:ascii="Times New Roman" w:hAnsi="Times New Roman" w:eastAsia="宋体" w:cs="宋体"/>
                <w:b w:val="0"/>
                <w:bCs w:val="0"/>
                <w:color w:val="auto"/>
                <w:kern w:val="2"/>
                <w:sz w:val="21"/>
                <w:szCs w:val="24"/>
                <w:highlight w:val="none"/>
                <w:lang w:val="en-US" w:eastAsia="zh-CN" w:bidi="ar-SA"/>
              </w:rPr>
              <w:t>，年运营时间为180天（每天24小时），年燃煤量为</w:t>
            </w:r>
            <w:r>
              <w:rPr>
                <w:rFonts w:hint="eastAsia" w:cs="宋体"/>
                <w:b w:val="0"/>
                <w:bCs w:val="0"/>
                <w:color w:val="auto"/>
                <w:kern w:val="2"/>
                <w:sz w:val="21"/>
                <w:szCs w:val="24"/>
                <w:highlight w:val="none"/>
                <w:lang w:val="en-US" w:eastAsia="zh-CN" w:bidi="ar-SA"/>
              </w:rPr>
              <w:t>4</w:t>
            </w:r>
            <w:r>
              <w:rPr>
                <w:rFonts w:hint="eastAsia" w:ascii="Times New Roman" w:hAnsi="Times New Roman" w:eastAsia="宋体" w:cs="宋体"/>
                <w:b w:val="0"/>
                <w:bCs w:val="0"/>
                <w:color w:val="auto"/>
                <w:kern w:val="2"/>
                <w:sz w:val="21"/>
                <w:szCs w:val="24"/>
                <w:highlight w:val="none"/>
                <w:lang w:val="en-US" w:eastAsia="zh-CN" w:bidi="ar-SA"/>
              </w:rPr>
              <w:t>00t/a。</w:t>
            </w:r>
          </w:p>
          <w:p w14:paraId="30157196">
            <w:pPr>
              <w:pStyle w:val="105"/>
              <w:spacing w:line="360" w:lineRule="auto"/>
              <w:ind w:firstLine="480"/>
              <w:jc w:val="both"/>
              <w:rPr>
                <w:rFonts w:hint="eastAsia" w:ascii="Times New Roman" w:hAnsi="Times New Roman" w:eastAsia="宋体" w:cs="宋体"/>
                <w:b w:val="0"/>
                <w:bCs/>
                <w:color w:val="auto"/>
                <w:kern w:val="24"/>
                <w:sz w:val="21"/>
                <w:szCs w:val="24"/>
                <w:highlight w:val="none"/>
                <w:lang w:val="en-US" w:eastAsia="zh-CN"/>
              </w:rPr>
            </w:pPr>
            <w:r>
              <w:rPr>
                <w:rFonts w:hint="eastAsia" w:ascii="Times New Roman" w:hAnsi="Times New Roman" w:eastAsia="宋体" w:cs="宋体"/>
                <w:b w:val="0"/>
                <w:bCs/>
                <w:color w:val="auto"/>
                <w:kern w:val="24"/>
                <w:sz w:val="21"/>
                <w:szCs w:val="24"/>
                <w:highlight w:val="none"/>
                <w:lang w:eastAsia="zh-CN"/>
              </w:rPr>
              <w:t>（</w:t>
            </w:r>
            <w:r>
              <w:rPr>
                <w:rFonts w:hint="eastAsia" w:ascii="Times New Roman" w:hAnsi="Times New Roman" w:eastAsia="宋体" w:cs="宋体"/>
                <w:b w:val="0"/>
                <w:bCs/>
                <w:color w:val="auto"/>
                <w:kern w:val="24"/>
                <w:sz w:val="21"/>
                <w:szCs w:val="24"/>
                <w:highlight w:val="none"/>
                <w:lang w:val="en-US" w:eastAsia="zh-CN"/>
              </w:rPr>
              <w:t>1</w:t>
            </w:r>
            <w:r>
              <w:rPr>
                <w:rFonts w:hint="eastAsia" w:ascii="Times New Roman" w:hAnsi="Times New Roman" w:eastAsia="宋体" w:cs="宋体"/>
                <w:b w:val="0"/>
                <w:bCs/>
                <w:color w:val="auto"/>
                <w:kern w:val="24"/>
                <w:sz w:val="21"/>
                <w:szCs w:val="24"/>
                <w:highlight w:val="none"/>
                <w:lang w:eastAsia="zh-CN"/>
              </w:rPr>
              <w:t>）</w:t>
            </w:r>
            <w:r>
              <w:rPr>
                <w:rFonts w:hint="eastAsia" w:ascii="Times New Roman" w:hAnsi="Times New Roman" w:eastAsia="宋体" w:cs="宋体"/>
                <w:b w:val="0"/>
                <w:bCs/>
                <w:color w:val="auto"/>
                <w:kern w:val="24"/>
                <w:sz w:val="21"/>
                <w:szCs w:val="24"/>
                <w:highlight w:val="none"/>
                <w:lang w:val="en-US" w:eastAsia="zh-CN"/>
              </w:rPr>
              <w:t>废水</w:t>
            </w:r>
          </w:p>
          <w:p w14:paraId="0BB42161">
            <w:pPr>
              <w:pStyle w:val="300"/>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default" w:ascii="Times New Roman" w:hAnsi="Times New Roman" w:eastAsia="宋体" w:cs="宋体"/>
                <w:smallCaps w:val="0"/>
                <w:snapToGrid w:val="0"/>
                <w:color w:val="auto"/>
                <w:kern w:val="0"/>
                <w:sz w:val="21"/>
                <w:szCs w:val="24"/>
                <w:highlight w:val="none"/>
                <w:lang w:val="en-US" w:eastAsia="zh-CN"/>
              </w:rPr>
            </w:pPr>
            <w:r>
              <w:rPr>
                <w:rFonts w:hint="eastAsia" w:ascii="宋体" w:hAnsi="宋体" w:eastAsia="宋体" w:cs="宋体"/>
                <w:smallCaps w:val="0"/>
                <w:snapToGrid w:val="0"/>
                <w:color w:val="auto"/>
                <w:kern w:val="0"/>
                <w:sz w:val="21"/>
                <w:szCs w:val="24"/>
                <w:highlight w:val="none"/>
                <w:lang w:val="en-US" w:eastAsia="zh-CN"/>
              </w:rPr>
              <w:t>①</w:t>
            </w:r>
            <w:r>
              <w:rPr>
                <w:rFonts w:hint="eastAsia" w:ascii="Times New Roman" w:hAnsi="Times New Roman" w:eastAsia="宋体" w:cs="宋体"/>
                <w:smallCaps w:val="0"/>
                <w:snapToGrid w:val="0"/>
                <w:color w:val="auto"/>
                <w:kern w:val="0"/>
                <w:sz w:val="21"/>
                <w:szCs w:val="24"/>
                <w:highlight w:val="none"/>
                <w:lang w:val="en-US" w:eastAsia="zh-CN"/>
              </w:rPr>
              <w:t>现有工程生活污水</w:t>
            </w:r>
            <w:r>
              <w:rPr>
                <w:rFonts w:hint="eastAsia" w:ascii="Times New Roman" w:hAnsi="Times New Roman" w:cs="宋体"/>
                <w:smallCaps w:val="0"/>
                <w:snapToGrid w:val="0"/>
                <w:color w:val="auto"/>
                <w:kern w:val="0"/>
                <w:sz w:val="21"/>
                <w:szCs w:val="24"/>
                <w:highlight w:val="none"/>
                <w:lang w:val="en-US" w:eastAsia="zh-CN"/>
              </w:rPr>
              <w:t>产生</w:t>
            </w:r>
            <w:r>
              <w:rPr>
                <w:rFonts w:hint="eastAsia" w:ascii="Times New Roman" w:hAnsi="Times New Roman" w:eastAsia="宋体" w:cs="宋体"/>
                <w:smallCaps w:val="0"/>
                <w:snapToGrid w:val="0"/>
                <w:color w:val="auto"/>
                <w:kern w:val="0"/>
                <w:sz w:val="21"/>
                <w:szCs w:val="24"/>
                <w:highlight w:val="none"/>
                <w:lang w:val="en-US" w:eastAsia="zh-CN"/>
              </w:rPr>
              <w:t>量为</w:t>
            </w:r>
            <w:r>
              <w:rPr>
                <w:rFonts w:hint="eastAsia" w:ascii="Times New Roman" w:hAnsi="Times New Roman" w:eastAsia="宋体" w:cs="宋体"/>
                <w:color w:val="auto"/>
                <w:sz w:val="21"/>
                <w:highlight w:val="none"/>
                <w:lang w:val="en-US" w:eastAsia="zh-CN"/>
              </w:rPr>
              <w:t>0.</w:t>
            </w:r>
            <w:r>
              <w:rPr>
                <w:rFonts w:hint="eastAsia" w:ascii="Times New Roman" w:hAnsi="Times New Roman" w:cs="宋体"/>
                <w:color w:val="auto"/>
                <w:sz w:val="21"/>
                <w:highlight w:val="none"/>
                <w:lang w:val="en-US" w:eastAsia="zh-CN"/>
              </w:rPr>
              <w:t>256</w:t>
            </w:r>
            <w:r>
              <w:rPr>
                <w:rFonts w:hint="eastAsia" w:ascii="Times New Roman" w:hAnsi="Times New Roman" w:eastAsia="宋体" w:cs="宋体"/>
                <w:bCs/>
                <w:color w:val="auto"/>
                <w:sz w:val="21"/>
                <w:highlight w:val="none"/>
              </w:rPr>
              <w:t>t</w:t>
            </w:r>
            <w:r>
              <w:rPr>
                <w:rFonts w:hint="eastAsia" w:ascii="Times New Roman" w:hAnsi="Times New Roman" w:eastAsia="宋体" w:cs="宋体"/>
                <w:bCs/>
                <w:color w:val="auto"/>
                <w:sz w:val="21"/>
                <w:highlight w:val="none"/>
                <w:lang w:eastAsia="zh-CN"/>
              </w:rPr>
              <w:t>/d（</w:t>
            </w:r>
            <w:r>
              <w:rPr>
                <w:rFonts w:hint="eastAsia" w:ascii="Times New Roman" w:hAnsi="Times New Roman" w:cs="宋体"/>
                <w:bCs/>
                <w:color w:val="auto"/>
                <w:sz w:val="21"/>
                <w:highlight w:val="none"/>
                <w:lang w:val="en-US" w:eastAsia="zh-CN"/>
              </w:rPr>
              <w:t>46.08</w:t>
            </w:r>
            <w:r>
              <w:rPr>
                <w:rFonts w:hint="eastAsia" w:ascii="Times New Roman" w:hAnsi="Times New Roman" w:eastAsia="宋体" w:cs="宋体"/>
                <w:bCs/>
                <w:color w:val="auto"/>
                <w:sz w:val="21"/>
                <w:highlight w:val="none"/>
              </w:rPr>
              <w:t>t</w:t>
            </w:r>
            <w:r>
              <w:rPr>
                <w:rFonts w:hint="eastAsia" w:ascii="Times New Roman" w:hAnsi="Times New Roman" w:eastAsia="宋体" w:cs="宋体"/>
                <w:bCs/>
                <w:color w:val="auto"/>
                <w:sz w:val="21"/>
                <w:highlight w:val="none"/>
                <w:lang w:eastAsia="zh-CN"/>
              </w:rPr>
              <w:t>/a）</w:t>
            </w:r>
            <w:r>
              <w:rPr>
                <w:rFonts w:hint="eastAsia" w:ascii="Times New Roman" w:hAnsi="Times New Roman" w:eastAsia="宋体" w:cs="宋体"/>
                <w:b w:val="0"/>
                <w:bCs w:val="0"/>
                <w:color w:val="auto"/>
                <w:sz w:val="21"/>
                <w:highlight w:val="none"/>
                <w:lang w:eastAsia="zh-CN"/>
              </w:rPr>
              <w:t>，</w:t>
            </w:r>
            <w:r>
              <w:rPr>
                <w:rFonts w:hint="eastAsia" w:ascii="Times New Roman" w:hAnsi="Times New Roman" w:cs="宋体"/>
                <w:smallCaps w:val="0"/>
                <w:snapToGrid w:val="0"/>
                <w:color w:val="auto"/>
                <w:kern w:val="0"/>
                <w:sz w:val="21"/>
                <w:szCs w:val="24"/>
                <w:highlight w:val="none"/>
                <w:lang w:val="en-US" w:eastAsia="zh-CN"/>
              </w:rPr>
              <w:t>排入防渗旱厕，定期掏运，外运堆肥</w:t>
            </w:r>
            <w:r>
              <w:rPr>
                <w:rFonts w:hint="eastAsia" w:ascii="Times New Roman" w:hAnsi="Times New Roman" w:eastAsia="宋体" w:cs="宋体"/>
                <w:smallCaps w:val="0"/>
                <w:snapToGrid w:val="0"/>
                <w:color w:val="auto"/>
                <w:kern w:val="0"/>
                <w:sz w:val="21"/>
                <w:szCs w:val="24"/>
                <w:highlight w:val="none"/>
                <w:lang w:val="en-US" w:eastAsia="zh-CN"/>
              </w:rPr>
              <w:t>。</w:t>
            </w:r>
          </w:p>
          <w:p w14:paraId="4029DF16">
            <w:pPr>
              <w:pStyle w:val="300"/>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default" w:ascii="Times New Roman" w:hAnsi="Times New Roman" w:eastAsia="宋体" w:cs="宋体"/>
                <w:smallCaps w:val="0"/>
                <w:snapToGrid w:val="0"/>
                <w:color w:val="auto"/>
                <w:kern w:val="0"/>
                <w:sz w:val="21"/>
                <w:szCs w:val="24"/>
                <w:highlight w:val="none"/>
                <w:lang w:val="en-US" w:eastAsia="zh-CN"/>
              </w:rPr>
            </w:pPr>
            <w:r>
              <w:rPr>
                <w:rFonts w:hint="eastAsia" w:ascii="宋体" w:hAnsi="宋体" w:eastAsia="宋体" w:cs="宋体"/>
                <w:bCs/>
                <w:color w:val="auto"/>
                <w:sz w:val="21"/>
                <w:highlight w:val="none"/>
              </w:rPr>
              <w:t>②</w:t>
            </w:r>
            <w:r>
              <w:rPr>
                <w:rFonts w:hint="eastAsia" w:ascii="Times New Roman" w:hAnsi="Times New Roman" w:eastAsia="宋体" w:cs="宋体"/>
                <w:bCs/>
                <w:color w:val="auto"/>
                <w:sz w:val="21"/>
                <w:highlight w:val="none"/>
              </w:rPr>
              <w:t>根据</w:t>
            </w:r>
            <w:r>
              <w:rPr>
                <w:rFonts w:hint="eastAsia" w:ascii="Times New Roman" w:hAnsi="Times New Roman" w:eastAsia="宋体" w:cs="宋体"/>
                <w:color w:val="auto"/>
                <w:sz w:val="21"/>
                <w:highlight w:val="none"/>
              </w:rPr>
              <w:t>《</w:t>
            </w:r>
            <w:r>
              <w:rPr>
                <w:rFonts w:hint="eastAsia" w:ascii="Times New Roman" w:hAnsi="Times New Roman" w:eastAsia="宋体" w:cs="宋体"/>
                <w:bCs/>
                <w:color w:val="auto"/>
                <w:sz w:val="21"/>
                <w:highlight w:val="none"/>
              </w:rPr>
              <w:t>排放源统计调查产排污核算方法和系数手册</w:t>
            </w:r>
            <w:r>
              <w:rPr>
                <w:rFonts w:hint="eastAsia" w:ascii="Times New Roman" w:hAnsi="Times New Roman" w:eastAsia="宋体" w:cs="宋体"/>
                <w:color w:val="auto"/>
                <w:sz w:val="21"/>
                <w:highlight w:val="none"/>
              </w:rPr>
              <w:t>》</w:t>
            </w:r>
            <w:r>
              <w:rPr>
                <w:rFonts w:hint="eastAsia" w:ascii="Times New Roman" w:hAnsi="Times New Roman" w:eastAsia="宋体" w:cs="宋体"/>
                <w:bCs/>
                <w:color w:val="auto"/>
                <w:sz w:val="21"/>
                <w:highlight w:val="none"/>
              </w:rPr>
              <w:t>工业锅炉（热力生产和供应行业）产排污系数</w:t>
            </w:r>
            <w:r>
              <w:rPr>
                <w:rFonts w:hint="eastAsia" w:ascii="Times New Roman" w:hAnsi="Times New Roman" w:eastAsia="宋体" w:cs="宋体"/>
                <w:bCs/>
                <w:color w:val="auto"/>
                <w:sz w:val="21"/>
                <w:highlight w:val="none"/>
                <w:lang w:val="en-US" w:eastAsia="zh-CN"/>
              </w:rPr>
              <w:t>燃煤</w:t>
            </w:r>
            <w:r>
              <w:rPr>
                <w:rFonts w:hint="eastAsia" w:ascii="Times New Roman" w:hAnsi="Times New Roman" w:eastAsia="宋体" w:cs="宋体"/>
                <w:bCs/>
                <w:color w:val="auto"/>
                <w:sz w:val="21"/>
                <w:highlight w:val="none"/>
              </w:rPr>
              <w:t>锅炉锅外水处理软化处理废水及锅炉定排水产污系数为0.</w:t>
            </w:r>
            <w:r>
              <w:rPr>
                <w:rFonts w:hint="eastAsia" w:ascii="Times New Roman" w:hAnsi="Times New Roman" w:eastAsia="宋体" w:cs="宋体"/>
                <w:bCs/>
                <w:color w:val="auto"/>
                <w:sz w:val="21"/>
                <w:highlight w:val="none"/>
                <w:lang w:val="en-US" w:eastAsia="zh-CN"/>
              </w:rPr>
              <w:t>605</w:t>
            </w:r>
            <w:r>
              <w:rPr>
                <w:rFonts w:hint="eastAsia" w:ascii="Times New Roman" w:hAnsi="Times New Roman" w:eastAsia="宋体" w:cs="宋体"/>
                <w:bCs/>
                <w:color w:val="auto"/>
                <w:sz w:val="21"/>
                <w:highlight w:val="none"/>
              </w:rPr>
              <w:t>吨/吨-原料，</w:t>
            </w:r>
            <w:r>
              <w:rPr>
                <w:rFonts w:hint="eastAsia" w:ascii="Times New Roman" w:hAnsi="Times New Roman" w:eastAsia="宋体" w:cs="宋体"/>
                <w:color w:val="auto"/>
                <w:sz w:val="21"/>
                <w:szCs w:val="24"/>
                <w:highlight w:val="none"/>
                <w:lang w:val="en-US" w:eastAsia="zh-CN"/>
              </w:rPr>
              <w:t>现有工程</w:t>
            </w:r>
            <w:r>
              <w:rPr>
                <w:rFonts w:hint="eastAsia" w:ascii="Times New Roman" w:hAnsi="Times New Roman" w:eastAsia="宋体" w:cs="宋体"/>
                <w:color w:val="auto"/>
                <w:sz w:val="21"/>
                <w:highlight w:val="none"/>
              </w:rPr>
              <w:t>燃煤量为</w:t>
            </w:r>
            <w:r>
              <w:rPr>
                <w:rFonts w:hint="eastAsia" w:ascii="Times New Roman" w:hAnsi="Times New Roman" w:eastAsia="宋体" w:cs="宋体"/>
                <w:b w:val="0"/>
                <w:bCs/>
                <w:color w:val="auto"/>
                <w:sz w:val="21"/>
                <w:highlight w:val="none"/>
                <w:lang w:val="en-US" w:eastAsia="zh-CN"/>
              </w:rPr>
              <w:t>400</w:t>
            </w:r>
            <w:r>
              <w:rPr>
                <w:rFonts w:hint="eastAsia" w:ascii="Times New Roman" w:hAnsi="Times New Roman" w:eastAsia="宋体" w:cs="宋体"/>
                <w:color w:val="auto"/>
                <w:kern w:val="0"/>
                <w:sz w:val="21"/>
                <w:highlight w:val="none"/>
              </w:rPr>
              <w:t>t/a</w:t>
            </w:r>
            <w:r>
              <w:rPr>
                <w:rFonts w:hint="eastAsia" w:ascii="Times New Roman" w:hAnsi="Times New Roman" w:eastAsia="宋体" w:cs="宋体"/>
                <w:color w:val="auto"/>
                <w:sz w:val="21"/>
                <w:szCs w:val="24"/>
                <w:highlight w:val="none"/>
                <w:lang w:val="en-US" w:eastAsia="zh-CN"/>
              </w:rPr>
              <w:t>，所以</w:t>
            </w:r>
            <w:r>
              <w:rPr>
                <w:rFonts w:hint="eastAsia" w:ascii="Times New Roman" w:hAnsi="Times New Roman" w:eastAsia="宋体" w:cs="宋体"/>
                <w:smallCaps w:val="0"/>
                <w:snapToGrid w:val="0"/>
                <w:color w:val="auto"/>
                <w:kern w:val="0"/>
                <w:sz w:val="21"/>
                <w:szCs w:val="24"/>
                <w:highlight w:val="none"/>
                <w:lang w:val="en-US" w:eastAsia="zh-CN"/>
              </w:rPr>
              <w:t>锅炉排污水和软化水制备废水</w:t>
            </w:r>
            <w:r>
              <w:rPr>
                <w:rFonts w:hint="eastAsia" w:ascii="Times New Roman" w:hAnsi="Times New Roman" w:cs="宋体"/>
                <w:color w:val="auto"/>
                <w:sz w:val="21"/>
                <w:szCs w:val="24"/>
                <w:highlight w:val="none"/>
                <w:lang w:val="en-US" w:eastAsia="zh-CN"/>
              </w:rPr>
              <w:t>242</w:t>
            </w:r>
            <w:r>
              <w:rPr>
                <w:rFonts w:hint="eastAsia" w:ascii="Times New Roman" w:hAnsi="Times New Roman" w:eastAsia="宋体" w:cs="宋体"/>
                <w:bCs/>
                <w:color w:val="auto"/>
                <w:sz w:val="21"/>
                <w:highlight w:val="none"/>
              </w:rPr>
              <w:t>t/a</w:t>
            </w:r>
            <w:r>
              <w:rPr>
                <w:rFonts w:hint="eastAsia" w:ascii="Times New Roman" w:hAnsi="Times New Roman" w:cs="宋体"/>
                <w:bCs/>
                <w:color w:val="auto"/>
                <w:sz w:val="21"/>
                <w:highlight w:val="none"/>
                <w:lang w:eastAsia="zh-CN"/>
              </w:rPr>
              <w:t>，</w:t>
            </w:r>
            <w:r>
              <w:rPr>
                <w:rFonts w:hint="eastAsia" w:ascii="Times New Roman" w:hAnsi="Times New Roman" w:cs="宋体"/>
                <w:bCs/>
                <w:color w:val="auto"/>
                <w:sz w:val="21"/>
                <w:highlight w:val="none"/>
                <w:lang w:val="en-US" w:eastAsia="zh-CN"/>
              </w:rPr>
              <w:t>用于厂区洒水降尘和锅炉除渣。</w:t>
            </w:r>
          </w:p>
          <w:p w14:paraId="61F5D7F8">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Times New Roman" w:hAnsi="Times New Roman" w:eastAsia="宋体" w:cs="宋体"/>
                <w:color w:val="auto"/>
                <w:sz w:val="21"/>
                <w:highlight w:val="none"/>
                <w:lang w:val="en-US"/>
              </w:rPr>
            </w:pPr>
            <w:r>
              <w:rPr>
                <w:rFonts w:hint="eastAsia" w:ascii="Times New Roman" w:hAnsi="Times New Roman" w:eastAsia="宋体" w:cs="宋体"/>
                <w:color w:val="auto"/>
                <w:kern w:val="0"/>
                <w:sz w:val="21"/>
                <w:szCs w:val="24"/>
                <w:highlight w:val="none"/>
                <w:lang w:val="en-US" w:eastAsia="zh-CN" w:bidi="en-US"/>
              </w:rPr>
              <w:t>（2）</w:t>
            </w:r>
            <w:r>
              <w:rPr>
                <w:rFonts w:hint="eastAsia" w:ascii="Times New Roman" w:hAnsi="Times New Roman" w:eastAsia="宋体" w:cs="宋体"/>
                <w:color w:val="auto"/>
                <w:sz w:val="21"/>
                <w:highlight w:val="none"/>
                <w:lang w:val="en-US"/>
              </w:rPr>
              <w:t>噪声</w:t>
            </w:r>
          </w:p>
          <w:p w14:paraId="460B0750">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sz w:val="21"/>
                <w:highlight w:val="none"/>
                <w:lang w:val="en-US" w:eastAsia="zh-CN"/>
              </w:rPr>
            </w:pPr>
            <w:r>
              <w:rPr>
                <w:rFonts w:hint="eastAsia" w:ascii="Times New Roman" w:hAnsi="Times New Roman" w:eastAsia="宋体" w:cs="宋体"/>
                <w:smallCaps w:val="0"/>
                <w:snapToGrid w:val="0"/>
                <w:color w:val="auto"/>
                <w:kern w:val="0"/>
                <w:sz w:val="21"/>
                <w:szCs w:val="24"/>
                <w:highlight w:val="none"/>
                <w:lang w:val="en-US" w:eastAsia="zh-CN"/>
              </w:rPr>
              <w:t>现有工程设备采用低噪声设备，采取减振隔声等措施，厂界噪声可满足</w:t>
            </w:r>
            <w:r>
              <w:rPr>
                <w:rFonts w:hint="eastAsia" w:ascii="Times New Roman" w:hAnsi="Times New Roman" w:eastAsia="宋体" w:cs="宋体"/>
                <w:color w:val="auto"/>
                <w:sz w:val="21"/>
                <w:highlight w:val="none"/>
                <w:lang w:val="en-US"/>
              </w:rPr>
              <w:t>《工业企业厂界环境噪声排放标准》（GB12348-2008）</w:t>
            </w:r>
            <w:r>
              <w:rPr>
                <w:rFonts w:hint="eastAsia" w:ascii="Times New Roman" w:hAnsi="Times New Roman" w:eastAsia="宋体" w:cs="宋体"/>
                <w:color w:val="auto"/>
                <w:sz w:val="21"/>
                <w:highlight w:val="none"/>
                <w:lang w:val="en-US" w:eastAsia="zh-CN"/>
              </w:rPr>
              <w:t>表</w:t>
            </w:r>
            <w:r>
              <w:rPr>
                <w:rFonts w:hint="eastAsia" w:ascii="Times New Roman" w:hAnsi="Times New Roman" w:eastAsia="宋体" w:cs="宋体"/>
                <w:color w:val="auto"/>
                <w:sz w:val="21"/>
                <w:highlight w:val="none"/>
                <w:lang w:val="en-US"/>
              </w:rPr>
              <w:t>1中</w:t>
            </w:r>
            <w:r>
              <w:rPr>
                <w:rFonts w:hint="eastAsia" w:ascii="Times New Roman" w:hAnsi="Times New Roman" w:eastAsia="宋体" w:cs="宋体"/>
                <w:color w:val="auto"/>
                <w:sz w:val="21"/>
                <w:highlight w:val="none"/>
                <w:lang w:val="en-US" w:eastAsia="zh-CN"/>
              </w:rPr>
              <w:t>2</w:t>
            </w:r>
            <w:r>
              <w:rPr>
                <w:rFonts w:hint="eastAsia" w:ascii="Times New Roman" w:hAnsi="Times New Roman" w:eastAsia="宋体" w:cs="宋体"/>
                <w:color w:val="auto"/>
                <w:sz w:val="21"/>
                <w:highlight w:val="none"/>
                <w:lang w:val="en-US"/>
              </w:rPr>
              <w:t>类标准</w:t>
            </w:r>
            <w:r>
              <w:rPr>
                <w:rFonts w:hint="eastAsia" w:ascii="Times New Roman" w:hAnsi="Times New Roman" w:eastAsia="宋体" w:cs="宋体"/>
                <w:color w:val="auto"/>
                <w:sz w:val="21"/>
                <w:highlight w:val="none"/>
                <w:lang w:val="en-US" w:eastAsia="zh-CN"/>
              </w:rPr>
              <w:t>。</w:t>
            </w:r>
          </w:p>
          <w:p w14:paraId="105FDFE0">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Times New Roman" w:hAnsi="Times New Roman" w:eastAsia="宋体" w:cs="宋体"/>
                <w:color w:val="auto"/>
                <w:sz w:val="21"/>
                <w:highlight w:val="none"/>
                <w:lang w:val="en-US" w:eastAsia="zh-CN"/>
              </w:rPr>
            </w:pPr>
            <w:r>
              <w:rPr>
                <w:rFonts w:hint="eastAsia" w:ascii="Times New Roman" w:hAnsi="Times New Roman" w:eastAsia="宋体" w:cs="宋体"/>
                <w:color w:val="auto"/>
                <w:kern w:val="0"/>
                <w:sz w:val="21"/>
                <w:szCs w:val="24"/>
                <w:highlight w:val="none"/>
                <w:lang w:val="en-US" w:eastAsia="zh-CN" w:bidi="en-US"/>
              </w:rPr>
              <w:t>（3）</w:t>
            </w:r>
            <w:r>
              <w:rPr>
                <w:rFonts w:hint="eastAsia" w:ascii="Times New Roman" w:hAnsi="Times New Roman" w:eastAsia="宋体" w:cs="宋体"/>
                <w:color w:val="auto"/>
                <w:sz w:val="21"/>
                <w:highlight w:val="none"/>
                <w:lang w:val="en-US" w:eastAsia="zh-CN"/>
              </w:rPr>
              <w:t>废气</w:t>
            </w:r>
          </w:p>
          <w:p w14:paraId="18C9504D">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Times New Roman" w:hAnsi="Times New Roman" w:eastAsia="宋体" w:cs="宋体"/>
                <w:bCs/>
                <w:color w:val="auto"/>
                <w:sz w:val="21"/>
                <w:highlight w:val="none"/>
                <w:lang w:val="en-US" w:eastAsia="zh-CN"/>
              </w:rPr>
            </w:pPr>
            <w:r>
              <w:rPr>
                <w:rFonts w:hint="eastAsia" w:ascii="Times New Roman" w:hAnsi="Times New Roman" w:eastAsia="宋体" w:cs="宋体"/>
                <w:bCs/>
                <w:color w:val="auto"/>
                <w:sz w:val="21"/>
                <w:highlight w:val="none"/>
                <w:lang w:val="en-US" w:eastAsia="zh-CN"/>
              </w:rPr>
              <w:t>锅炉废气：</w:t>
            </w:r>
          </w:p>
          <w:p w14:paraId="6B9730DA">
            <w:pPr>
              <w:pStyle w:val="16"/>
              <w:keepNext w:val="0"/>
              <w:keepLines w:val="0"/>
              <w:suppressLineNumbers w:val="0"/>
              <w:snapToGrid/>
              <w:spacing w:before="0" w:beforeAutospacing="0" w:after="0" w:afterAutospacing="0" w:line="360" w:lineRule="auto"/>
              <w:ind w:left="0" w:right="0" w:firstLine="420" w:firstLineChars="200"/>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color w:val="auto"/>
                <w:sz w:val="21"/>
                <w:szCs w:val="24"/>
                <w:highlight w:val="none"/>
                <w:lang w:val="en-US" w:eastAsia="zh-CN"/>
              </w:rPr>
              <w:t>①烟气量</w:t>
            </w:r>
          </w:p>
          <w:p w14:paraId="026F509E">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宋体"/>
                <w:color w:val="auto"/>
                <w:sz w:val="21"/>
                <w:highlight w:val="none"/>
              </w:rPr>
            </w:pPr>
            <w:r>
              <w:rPr>
                <w:rFonts w:hint="eastAsia" w:ascii="Times New Roman" w:hAnsi="Times New Roman" w:eastAsia="宋体" w:cs="宋体"/>
                <w:color w:val="auto"/>
                <w:sz w:val="21"/>
                <w:highlight w:val="none"/>
                <w:lang w:val="en-US" w:eastAsia="zh-CN"/>
              </w:rPr>
              <w:t>根据</w:t>
            </w:r>
            <w:r>
              <w:rPr>
                <w:rFonts w:hint="eastAsia" w:ascii="Times New Roman" w:hAnsi="Times New Roman" w:eastAsia="宋体" w:cs="宋体"/>
                <w:color w:val="auto"/>
                <w:sz w:val="21"/>
                <w:highlight w:val="none"/>
              </w:rPr>
              <w:t>《污染源源强核算技术指南 锅炉》（HJ991-2018）附录C，没有元素分析时，干烟气排放量的经验公式计算参照HJ953，</w:t>
            </w:r>
            <w:r>
              <w:rPr>
                <w:rFonts w:hint="eastAsia" w:ascii="Times New Roman" w:hAnsi="Times New Roman" w:eastAsia="宋体" w:cs="宋体"/>
                <w:color w:val="auto"/>
                <w:sz w:val="21"/>
                <w:highlight w:val="none"/>
                <w:lang w:val="en-US" w:eastAsia="zh-CN"/>
              </w:rPr>
              <w:t>根据煤质分析报告可知低位发热量为26.94MJ/kg，</w:t>
            </w:r>
            <w:r>
              <w:rPr>
                <w:rFonts w:hint="eastAsia" w:ascii="Times New Roman" w:hAnsi="Times New Roman" w:eastAsia="宋体" w:cs="宋体"/>
                <w:color w:val="auto"/>
                <w:sz w:val="21"/>
                <w:highlight w:val="none"/>
              </w:rPr>
              <w:t>则干烟气量为Vg=（0.</w:t>
            </w:r>
            <w:r>
              <w:rPr>
                <w:rFonts w:hint="eastAsia" w:ascii="Times New Roman" w:hAnsi="Times New Roman" w:eastAsia="宋体" w:cs="宋体"/>
                <w:color w:val="auto"/>
                <w:sz w:val="21"/>
                <w:highlight w:val="none"/>
                <w:lang w:val="en-US" w:eastAsia="zh-CN"/>
              </w:rPr>
              <w:t>411</w:t>
            </w:r>
            <w:r>
              <w:rPr>
                <w:rFonts w:hint="eastAsia" w:ascii="Times New Roman" w:hAnsi="Times New Roman" w:eastAsia="宋体" w:cs="宋体"/>
                <w:color w:val="auto"/>
                <w:sz w:val="21"/>
                <w:highlight w:val="none"/>
              </w:rPr>
              <w:t>×</w:t>
            </w:r>
            <w:r>
              <w:rPr>
                <w:rFonts w:hint="eastAsia" w:ascii="Times New Roman" w:hAnsi="Times New Roman" w:eastAsia="宋体" w:cs="宋体"/>
                <w:color w:val="auto"/>
                <w:sz w:val="21"/>
                <w:highlight w:val="none"/>
                <w:lang w:val="en-US" w:eastAsia="zh-CN"/>
              </w:rPr>
              <w:t>26.94</w:t>
            </w:r>
            <w:r>
              <w:rPr>
                <w:rFonts w:hint="eastAsia" w:ascii="Times New Roman" w:hAnsi="Times New Roman" w:eastAsia="宋体" w:cs="宋体"/>
                <w:color w:val="auto"/>
                <w:sz w:val="21"/>
                <w:highlight w:val="none"/>
              </w:rPr>
              <w:t>+0.</w:t>
            </w:r>
            <w:r>
              <w:rPr>
                <w:rFonts w:hint="eastAsia" w:ascii="Times New Roman" w:hAnsi="Times New Roman" w:eastAsia="宋体" w:cs="宋体"/>
                <w:color w:val="auto"/>
                <w:sz w:val="21"/>
                <w:highlight w:val="none"/>
                <w:lang w:val="en-US" w:eastAsia="zh-CN"/>
              </w:rPr>
              <w:t>918</w:t>
            </w:r>
            <w:r>
              <w:rPr>
                <w:rFonts w:hint="eastAsia" w:ascii="Times New Roman" w:hAnsi="Times New Roman" w:eastAsia="宋体" w:cs="宋体"/>
                <w:color w:val="auto"/>
                <w:sz w:val="21"/>
                <w:highlight w:val="none"/>
              </w:rPr>
              <w:t>）Nm</w:t>
            </w:r>
            <w:r>
              <w:rPr>
                <w:rFonts w:hint="eastAsia" w:ascii="Times New Roman" w:hAnsi="Times New Roman" w:eastAsia="宋体" w:cs="宋体"/>
                <w:color w:val="auto"/>
                <w:sz w:val="21"/>
                <w:highlight w:val="none"/>
                <w:vertAlign w:val="superscript"/>
              </w:rPr>
              <w:t>3</w:t>
            </w:r>
            <w:r>
              <w:rPr>
                <w:rFonts w:hint="eastAsia" w:ascii="Times New Roman" w:hAnsi="Times New Roman" w:eastAsia="宋体" w:cs="宋体"/>
                <w:color w:val="auto"/>
                <w:sz w:val="21"/>
                <w:highlight w:val="none"/>
              </w:rPr>
              <w:t>/kg=</w:t>
            </w:r>
            <w:r>
              <w:rPr>
                <w:rFonts w:hint="eastAsia" w:ascii="Times New Roman" w:hAnsi="Times New Roman" w:eastAsia="宋体" w:cs="宋体"/>
                <w:color w:val="auto"/>
                <w:sz w:val="21"/>
                <w:highlight w:val="none"/>
                <w:lang w:val="en-US" w:eastAsia="zh-CN"/>
              </w:rPr>
              <w:t>11.99</w:t>
            </w:r>
            <w:r>
              <w:rPr>
                <w:rFonts w:hint="eastAsia" w:ascii="Times New Roman" w:hAnsi="Times New Roman" w:eastAsia="宋体" w:cs="宋体"/>
                <w:color w:val="auto"/>
                <w:sz w:val="21"/>
                <w:highlight w:val="none"/>
              </w:rPr>
              <w:t>Nm</w:t>
            </w:r>
            <w:r>
              <w:rPr>
                <w:rFonts w:hint="eastAsia" w:ascii="Times New Roman" w:hAnsi="Times New Roman" w:eastAsia="宋体" w:cs="宋体"/>
                <w:color w:val="auto"/>
                <w:sz w:val="21"/>
                <w:highlight w:val="none"/>
                <w:vertAlign w:val="superscript"/>
              </w:rPr>
              <w:t>3</w:t>
            </w:r>
            <w:r>
              <w:rPr>
                <w:rFonts w:hint="eastAsia" w:ascii="Times New Roman" w:hAnsi="Times New Roman" w:eastAsia="宋体" w:cs="宋体"/>
                <w:color w:val="auto"/>
                <w:sz w:val="21"/>
                <w:highlight w:val="none"/>
              </w:rPr>
              <w:t>/</w:t>
            </w:r>
            <w:r>
              <w:rPr>
                <w:rFonts w:hint="eastAsia" w:ascii="Times New Roman" w:hAnsi="Times New Roman" w:eastAsia="宋体" w:cs="宋体"/>
                <w:color w:val="auto"/>
                <w:sz w:val="21"/>
                <w:highlight w:val="none"/>
                <w:lang w:val="en-US" w:eastAsia="zh-CN"/>
              </w:rPr>
              <w:t>kg</w:t>
            </w:r>
            <w:r>
              <w:rPr>
                <w:rFonts w:hint="eastAsia" w:ascii="Times New Roman" w:hAnsi="Times New Roman" w:eastAsia="宋体" w:cs="宋体"/>
                <w:color w:val="auto"/>
                <w:sz w:val="21"/>
                <w:highlight w:val="none"/>
              </w:rPr>
              <w:t>，</w:t>
            </w:r>
            <w:r>
              <w:rPr>
                <w:rFonts w:hint="eastAsia" w:ascii="Times New Roman" w:hAnsi="Times New Roman" w:eastAsia="宋体" w:cs="宋体"/>
                <w:color w:val="auto"/>
                <w:sz w:val="21"/>
                <w:highlight w:val="none"/>
                <w:lang w:val="en-US" w:eastAsia="zh-CN"/>
              </w:rPr>
              <w:t>现有工程</w:t>
            </w:r>
            <w:r>
              <w:rPr>
                <w:rFonts w:hint="eastAsia" w:ascii="Times New Roman" w:hAnsi="Times New Roman" w:eastAsia="宋体" w:cs="宋体"/>
                <w:color w:val="auto"/>
                <w:sz w:val="21"/>
                <w:highlight w:val="none"/>
              </w:rPr>
              <w:t>燃</w:t>
            </w:r>
            <w:r>
              <w:rPr>
                <w:rFonts w:hint="eastAsia" w:ascii="Times New Roman" w:hAnsi="Times New Roman" w:eastAsia="宋体" w:cs="宋体"/>
                <w:color w:val="auto"/>
                <w:sz w:val="21"/>
                <w:highlight w:val="none"/>
                <w:lang w:val="en-US" w:eastAsia="zh-CN"/>
              </w:rPr>
              <w:t>煤</w:t>
            </w:r>
            <w:r>
              <w:rPr>
                <w:rFonts w:hint="eastAsia" w:ascii="Times New Roman" w:hAnsi="Times New Roman" w:eastAsia="宋体" w:cs="宋体"/>
                <w:color w:val="auto"/>
                <w:sz w:val="21"/>
                <w:highlight w:val="none"/>
              </w:rPr>
              <w:t>燃料量为</w:t>
            </w:r>
            <w:r>
              <w:rPr>
                <w:rFonts w:hint="eastAsia" w:cs="宋体"/>
                <w:bCs/>
                <w:color w:val="auto"/>
                <w:sz w:val="21"/>
                <w:highlight w:val="none"/>
                <w:lang w:val="en-US" w:eastAsia="zh-CN"/>
              </w:rPr>
              <w:t>4</w:t>
            </w:r>
            <w:r>
              <w:rPr>
                <w:rFonts w:hint="eastAsia" w:ascii="Times New Roman" w:hAnsi="Times New Roman" w:eastAsia="宋体" w:cs="宋体"/>
                <w:bCs/>
                <w:color w:val="auto"/>
                <w:sz w:val="21"/>
                <w:highlight w:val="none"/>
                <w:lang w:val="en-US" w:eastAsia="zh-CN"/>
              </w:rPr>
              <w:t>00</w:t>
            </w:r>
            <w:r>
              <w:rPr>
                <w:rFonts w:hint="eastAsia" w:ascii="Times New Roman" w:hAnsi="Times New Roman" w:eastAsia="宋体" w:cs="宋体"/>
                <w:color w:val="auto"/>
                <w:sz w:val="21"/>
                <w:highlight w:val="none"/>
              </w:rPr>
              <w:t>t/a，则烟气量</w:t>
            </w:r>
            <w:r>
              <w:rPr>
                <w:rFonts w:hint="eastAsia" w:ascii="Times New Roman" w:hAnsi="Times New Roman" w:eastAsia="宋体" w:cs="宋体"/>
                <w:color w:val="auto"/>
                <w:sz w:val="21"/>
                <w:highlight w:val="none"/>
                <w:lang w:val="en-US" w:eastAsia="zh-CN"/>
              </w:rPr>
              <w:t>4796</w:t>
            </w:r>
            <w:r>
              <w:rPr>
                <w:rFonts w:hint="eastAsia" w:cs="宋体"/>
                <w:color w:val="auto"/>
                <w:sz w:val="21"/>
                <w:highlight w:val="none"/>
                <w:lang w:val="en-US" w:eastAsia="zh-CN"/>
              </w:rPr>
              <w:t>136</w:t>
            </w:r>
            <w:r>
              <w:rPr>
                <w:rFonts w:hint="eastAsia" w:ascii="Times New Roman" w:hAnsi="Times New Roman" w:eastAsia="宋体" w:cs="宋体"/>
                <w:color w:val="auto"/>
                <w:sz w:val="21"/>
                <w:highlight w:val="none"/>
              </w:rPr>
              <w:t>Nm</w:t>
            </w:r>
            <w:r>
              <w:rPr>
                <w:rFonts w:hint="eastAsia" w:ascii="Times New Roman" w:hAnsi="Times New Roman" w:eastAsia="宋体" w:cs="宋体"/>
                <w:color w:val="auto"/>
                <w:sz w:val="21"/>
                <w:highlight w:val="none"/>
                <w:vertAlign w:val="superscript"/>
              </w:rPr>
              <w:t>3</w:t>
            </w:r>
            <w:r>
              <w:rPr>
                <w:rFonts w:hint="eastAsia" w:ascii="Times New Roman" w:hAnsi="Times New Roman" w:eastAsia="宋体" w:cs="宋体"/>
                <w:color w:val="auto"/>
                <w:sz w:val="21"/>
                <w:highlight w:val="none"/>
              </w:rPr>
              <w:t>/a，</w:t>
            </w:r>
            <w:r>
              <w:rPr>
                <w:rFonts w:hint="eastAsia" w:cs="宋体"/>
                <w:color w:val="auto"/>
                <w:sz w:val="21"/>
                <w:highlight w:val="none"/>
                <w:lang w:val="en-US" w:eastAsia="zh-CN"/>
              </w:rPr>
              <w:t>1110.22</w:t>
            </w:r>
            <w:r>
              <w:rPr>
                <w:rFonts w:hint="eastAsia" w:ascii="Times New Roman" w:hAnsi="Times New Roman" w:eastAsia="宋体" w:cs="宋体"/>
                <w:color w:val="auto"/>
                <w:sz w:val="21"/>
                <w:highlight w:val="none"/>
              </w:rPr>
              <w:t>m</w:t>
            </w:r>
            <w:r>
              <w:rPr>
                <w:rFonts w:hint="eastAsia" w:ascii="Times New Roman" w:hAnsi="Times New Roman" w:eastAsia="宋体" w:cs="宋体"/>
                <w:color w:val="auto"/>
                <w:sz w:val="21"/>
                <w:highlight w:val="none"/>
                <w:vertAlign w:val="superscript"/>
              </w:rPr>
              <w:t>3</w:t>
            </w:r>
            <w:r>
              <w:rPr>
                <w:rFonts w:hint="eastAsia" w:ascii="Times New Roman" w:hAnsi="Times New Roman" w:eastAsia="宋体" w:cs="宋体"/>
                <w:color w:val="auto"/>
                <w:sz w:val="21"/>
                <w:highlight w:val="none"/>
              </w:rPr>
              <w:t>/h。</w:t>
            </w:r>
          </w:p>
          <w:p w14:paraId="738D91A7">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ascii="Times New Roman" w:hAnsi="Times New Roman" w:eastAsia="宋体" w:cs="宋体"/>
                <w:color w:val="auto"/>
                <w:kern w:val="0"/>
                <w:sz w:val="21"/>
                <w:szCs w:val="24"/>
                <w:highlight w:val="none"/>
                <w:lang w:val="en-US" w:eastAsia="zh-CN" w:bidi="ar"/>
              </w:rPr>
            </w:pPr>
            <w:r>
              <w:rPr>
                <w:rFonts w:hint="eastAsia" w:ascii="Times New Roman" w:hAnsi="Times New Roman" w:eastAsia="宋体" w:cs="宋体"/>
                <w:color w:val="auto"/>
                <w:kern w:val="0"/>
                <w:sz w:val="21"/>
                <w:szCs w:val="24"/>
                <w:highlight w:val="none"/>
                <w:lang w:val="en-US" w:eastAsia="zh-CN" w:bidi="ar"/>
              </w:rPr>
              <w:t>②颗粒物排放量按下式计算：</w:t>
            </w:r>
          </w:p>
          <w:p w14:paraId="57AD031A">
            <w:pPr>
              <w:pStyle w:val="257"/>
              <w:spacing w:line="240" w:lineRule="auto"/>
              <w:ind w:firstLine="0" w:firstLineChars="0"/>
              <w:jc w:val="center"/>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lang w:eastAsia="zh-CN"/>
              </w:rPr>
              <w:drawing>
                <wp:inline distT="0" distB="0" distL="114300" distR="114300">
                  <wp:extent cx="2819400" cy="762000"/>
                  <wp:effectExtent l="0" t="0" r="0" b="0"/>
                  <wp:docPr id="19" name="图片 19" descr="微信图片_20230318163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微信图片_20230318163947"/>
                          <pic:cNvPicPr>
                            <a:picLocks noChangeAspect="1"/>
                          </pic:cNvPicPr>
                        </pic:nvPicPr>
                        <pic:blipFill>
                          <a:blip r:embed="rId20"/>
                          <a:stretch>
                            <a:fillRect/>
                          </a:stretch>
                        </pic:blipFill>
                        <pic:spPr>
                          <a:xfrm>
                            <a:off x="0" y="0"/>
                            <a:ext cx="2819400" cy="762000"/>
                          </a:xfrm>
                          <a:prstGeom prst="rect">
                            <a:avLst/>
                          </a:prstGeom>
                          <a:noFill/>
                          <a:ln>
                            <a:noFill/>
                          </a:ln>
                        </pic:spPr>
                      </pic:pic>
                    </a:graphicData>
                  </a:graphic>
                </wp:inline>
              </w:drawing>
            </w:r>
          </w:p>
          <w:p w14:paraId="5F15BE06">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式中：</w:t>
            </w:r>
          </w:p>
          <w:p w14:paraId="59C7FF45">
            <w:pPr>
              <w:keepNext w:val="0"/>
              <w:keepLines w:val="0"/>
              <w:suppressLineNumbers w:val="0"/>
              <w:spacing w:before="0" w:beforeAutospacing="0" w:after="0" w:afterAutospacing="0" w:line="360" w:lineRule="auto"/>
              <w:ind w:left="0" w:right="0" w:firstLine="420" w:firstLineChars="200"/>
              <w:textAlignment w:val="center"/>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color w:val="auto"/>
                <w:sz w:val="21"/>
                <w:szCs w:val="24"/>
                <w:highlight w:val="none"/>
              </w:rPr>
              <w:t>E</w:t>
            </w:r>
            <w:r>
              <w:rPr>
                <w:rFonts w:hint="eastAsia" w:ascii="Times New Roman" w:hAnsi="Times New Roman" w:eastAsia="宋体" w:cs="宋体"/>
                <w:color w:val="auto"/>
                <w:sz w:val="21"/>
                <w:szCs w:val="24"/>
                <w:highlight w:val="none"/>
                <w:vertAlign w:val="subscript"/>
              </w:rPr>
              <w:t>A</w:t>
            </w:r>
            <w:r>
              <w:rPr>
                <w:rFonts w:hint="eastAsia" w:ascii="Times New Roman" w:hAnsi="Times New Roman" w:eastAsia="宋体" w:cs="宋体"/>
                <w:color w:val="auto"/>
                <w:sz w:val="21"/>
                <w:szCs w:val="24"/>
                <w:highlight w:val="none"/>
              </w:rPr>
              <w:t>——核算时段内颗</w:t>
            </w:r>
            <w:r>
              <w:rPr>
                <w:rFonts w:hint="eastAsia" w:ascii="Times New Roman" w:hAnsi="Times New Roman" w:eastAsia="宋体" w:cs="宋体"/>
                <w:color w:val="auto"/>
                <w:sz w:val="21"/>
                <w:szCs w:val="24"/>
                <w:highlight w:val="none"/>
                <w:lang w:val="en-US" w:eastAsia="zh-CN"/>
              </w:rPr>
              <w:t>粒物（烟囱）排放量，t；</w:t>
            </w:r>
          </w:p>
          <w:p w14:paraId="56D1DF23">
            <w:pPr>
              <w:keepNext w:val="0"/>
              <w:keepLines w:val="0"/>
              <w:suppressLineNumbers w:val="0"/>
              <w:spacing w:before="0" w:beforeAutospacing="0" w:after="0" w:afterAutospacing="0" w:line="360" w:lineRule="auto"/>
              <w:ind w:left="0" w:right="0" w:firstLine="420" w:firstLineChars="200"/>
              <w:textAlignment w:val="center"/>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lang w:val="en-US" w:eastAsia="zh-CN"/>
              </w:rPr>
              <w:t>R——核算时段内锅炉燃</w:t>
            </w:r>
            <w:r>
              <w:rPr>
                <w:rFonts w:hint="eastAsia" w:ascii="Times New Roman" w:hAnsi="Times New Roman" w:eastAsia="宋体" w:cs="宋体"/>
                <w:color w:val="auto"/>
                <w:sz w:val="21"/>
                <w:szCs w:val="24"/>
                <w:highlight w:val="none"/>
              </w:rPr>
              <w:t>料耗量，t，取值</w:t>
            </w:r>
            <w:r>
              <w:rPr>
                <w:rFonts w:hint="eastAsia" w:cs="宋体"/>
                <w:bCs/>
                <w:color w:val="auto"/>
                <w:sz w:val="21"/>
                <w:highlight w:val="none"/>
                <w:lang w:val="en-US" w:eastAsia="zh-CN"/>
              </w:rPr>
              <w:t>4</w:t>
            </w:r>
            <w:r>
              <w:rPr>
                <w:rFonts w:hint="eastAsia" w:ascii="Times New Roman" w:hAnsi="Times New Roman" w:eastAsia="宋体" w:cs="宋体"/>
                <w:bCs/>
                <w:color w:val="auto"/>
                <w:sz w:val="21"/>
                <w:highlight w:val="none"/>
                <w:lang w:val="en-US" w:eastAsia="zh-CN"/>
              </w:rPr>
              <w:t>00</w:t>
            </w:r>
            <w:r>
              <w:rPr>
                <w:rFonts w:hint="eastAsia" w:ascii="Times New Roman" w:hAnsi="Times New Roman" w:eastAsia="宋体" w:cs="宋体"/>
                <w:color w:val="auto"/>
                <w:sz w:val="21"/>
                <w:highlight w:val="none"/>
              </w:rPr>
              <w:t>t/</w:t>
            </w:r>
            <w:r>
              <w:rPr>
                <w:rFonts w:hint="eastAsia" w:ascii="Times New Roman" w:hAnsi="Times New Roman" w:eastAsia="宋体" w:cs="宋体"/>
                <w:color w:val="auto"/>
                <w:sz w:val="21"/>
                <w:highlight w:val="none"/>
                <w:lang w:val="en-US" w:eastAsia="zh-CN"/>
              </w:rPr>
              <w:t>a</w:t>
            </w:r>
            <w:r>
              <w:rPr>
                <w:rFonts w:hint="eastAsia" w:ascii="Times New Roman" w:hAnsi="Times New Roman" w:eastAsia="宋体" w:cs="宋体"/>
                <w:color w:val="auto"/>
                <w:sz w:val="21"/>
                <w:szCs w:val="24"/>
                <w:highlight w:val="none"/>
              </w:rPr>
              <w:t>；</w:t>
            </w:r>
          </w:p>
          <w:p w14:paraId="085F8F9A">
            <w:pPr>
              <w:pStyle w:val="124"/>
              <w:keepNext w:val="0"/>
              <w:keepLines w:val="0"/>
              <w:pageBreakBefore w:val="0"/>
              <w:widowControl w:val="0"/>
              <w:kinsoku/>
              <w:wordWrap/>
              <w:overflowPunct/>
              <w:topLinePunct w:val="0"/>
              <w:autoSpaceDN/>
              <w:bidi w:val="0"/>
              <w:adjustRightInd/>
              <w:snapToGrid/>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A</w:t>
            </w:r>
            <w:r>
              <w:rPr>
                <w:rFonts w:hint="eastAsia" w:ascii="Times New Roman" w:hAnsi="Times New Roman" w:eastAsia="宋体" w:cs="宋体"/>
                <w:color w:val="auto"/>
                <w:sz w:val="21"/>
                <w:szCs w:val="24"/>
                <w:highlight w:val="none"/>
                <w:vertAlign w:val="subscript"/>
              </w:rPr>
              <w:t>ar</w:t>
            </w:r>
            <w:r>
              <w:rPr>
                <w:rFonts w:hint="eastAsia" w:ascii="Times New Roman" w:hAnsi="Times New Roman" w:eastAsia="宋体" w:cs="宋体"/>
                <w:color w:val="auto"/>
                <w:sz w:val="21"/>
                <w:szCs w:val="24"/>
                <w:highlight w:val="none"/>
              </w:rPr>
              <w:t>——收到基灰分质量分数，%，</w:t>
            </w:r>
            <w:r>
              <w:rPr>
                <w:rFonts w:hint="eastAsia" w:ascii="Times New Roman" w:hAnsi="Times New Roman" w:eastAsia="宋体" w:cs="宋体"/>
                <w:color w:val="auto"/>
                <w:sz w:val="21"/>
                <w:highlight w:val="none"/>
              </w:rPr>
              <w:t>Aar=A</w:t>
            </w:r>
            <w:r>
              <w:rPr>
                <w:rFonts w:hint="eastAsia" w:ascii="Times New Roman" w:hAnsi="Times New Roman" w:eastAsia="宋体" w:cs="宋体"/>
                <w:color w:val="auto"/>
                <w:sz w:val="21"/>
                <w:highlight w:val="none"/>
                <w:vertAlign w:val="subscript"/>
              </w:rPr>
              <w:t>d</w:t>
            </w:r>
            <w:r>
              <w:rPr>
                <w:rFonts w:hint="eastAsia" w:ascii="Times New Roman" w:hAnsi="Times New Roman" w:eastAsia="宋体" w:cs="宋体"/>
                <w:color w:val="auto"/>
                <w:sz w:val="21"/>
                <w:highlight w:val="none"/>
              </w:rPr>
              <w:t>（100-Mar）/</w:t>
            </w:r>
            <w:r>
              <w:rPr>
                <w:rFonts w:hint="eastAsia" w:ascii="Times New Roman" w:hAnsi="Times New Roman" w:eastAsia="宋体" w:cs="宋体"/>
                <w:color w:val="auto"/>
                <w:sz w:val="21"/>
                <w:highlight w:val="none"/>
                <w:lang w:val="en-US" w:eastAsia="zh-CN"/>
              </w:rPr>
              <w:t>100=12.11</w:t>
            </w:r>
            <w:r>
              <w:rPr>
                <w:rFonts w:hint="eastAsia" w:ascii="Times New Roman" w:hAnsi="Times New Roman" w:eastAsia="宋体" w:cs="宋体"/>
                <w:iCs/>
                <w:color w:val="auto"/>
                <w:sz w:val="21"/>
                <w:szCs w:val="24"/>
                <w:highlight w:val="none"/>
              </w:rPr>
              <w:t>；</w:t>
            </w:r>
          </w:p>
          <w:p w14:paraId="131DF758">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d</w:t>
            </w:r>
            <w:r>
              <w:rPr>
                <w:rFonts w:hint="eastAsia" w:ascii="Times New Roman" w:hAnsi="Times New Roman" w:eastAsia="宋体" w:cs="宋体"/>
                <w:color w:val="auto"/>
                <w:sz w:val="21"/>
                <w:szCs w:val="24"/>
                <w:highlight w:val="none"/>
                <w:vertAlign w:val="subscript"/>
              </w:rPr>
              <w:t>fh</w:t>
            </w:r>
            <w:r>
              <w:rPr>
                <w:rFonts w:hint="eastAsia" w:ascii="Times New Roman" w:hAnsi="Times New Roman" w:eastAsia="宋体" w:cs="宋体"/>
                <w:color w:val="auto"/>
                <w:sz w:val="21"/>
                <w:szCs w:val="24"/>
                <w:highlight w:val="none"/>
              </w:rPr>
              <w:t>——锅炉烟气带出的飞灰份额，%，</w:t>
            </w:r>
            <w:r>
              <w:rPr>
                <w:rFonts w:hint="eastAsia" w:cs="宋体"/>
                <w:color w:val="auto"/>
                <w:sz w:val="21"/>
                <w:szCs w:val="24"/>
                <w:highlight w:val="none"/>
                <w:lang w:val="en-US" w:eastAsia="zh-CN"/>
              </w:rPr>
              <w:t>根据《</w:t>
            </w:r>
            <w:r>
              <w:rPr>
                <w:rFonts w:hint="eastAsia" w:ascii="Times New Roman" w:hAnsi="Times New Roman" w:eastAsia="宋体" w:cs="宋体"/>
                <w:color w:val="auto"/>
                <w:sz w:val="21"/>
                <w:highlight w:val="none"/>
              </w:rPr>
              <w:t>污染源源强核算技术指南 锅炉</w:t>
            </w:r>
            <w:r>
              <w:rPr>
                <w:rFonts w:hint="eastAsia" w:cs="宋体"/>
                <w:color w:val="auto"/>
                <w:sz w:val="21"/>
                <w:szCs w:val="24"/>
                <w:highlight w:val="none"/>
                <w:lang w:val="en-US" w:eastAsia="zh-CN"/>
              </w:rPr>
              <w:t>》附录B,链条炉排炉取值为10-20%，本次取</w:t>
            </w:r>
            <w:r>
              <w:rPr>
                <w:rFonts w:hint="eastAsia" w:ascii="Times New Roman" w:hAnsi="Times New Roman" w:eastAsia="宋体" w:cs="宋体"/>
                <w:color w:val="auto"/>
                <w:sz w:val="21"/>
                <w:szCs w:val="24"/>
                <w:highlight w:val="none"/>
                <w:lang w:val="en-US" w:eastAsia="zh-CN"/>
              </w:rPr>
              <w:t>15%</w:t>
            </w:r>
            <w:r>
              <w:rPr>
                <w:rFonts w:hint="eastAsia" w:ascii="Times New Roman" w:hAnsi="Times New Roman" w:eastAsia="宋体" w:cs="宋体"/>
                <w:color w:val="auto"/>
                <w:sz w:val="21"/>
                <w:szCs w:val="24"/>
                <w:highlight w:val="none"/>
              </w:rPr>
              <w:t>。</w:t>
            </w:r>
          </w:p>
          <w:p w14:paraId="524F10D8">
            <w:pPr>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olor w:val="auto"/>
                <w:sz w:val="21"/>
                <w:szCs w:val="21"/>
              </w:rPr>
            </w:pPr>
            <w:r>
              <w:rPr>
                <w:rFonts w:hint="eastAsia" w:ascii="Times New Roman" w:hAnsi="Times New Roman" w:eastAsia="宋体" w:cs="宋体"/>
                <w:color w:val="auto"/>
                <w:sz w:val="21"/>
                <w:szCs w:val="24"/>
                <w:highlight w:val="none"/>
              </w:rPr>
              <w:t>η</w:t>
            </w:r>
            <w:r>
              <w:rPr>
                <w:rFonts w:hint="eastAsia" w:ascii="Times New Roman" w:hAnsi="Times New Roman" w:eastAsia="宋体" w:cs="宋体"/>
                <w:color w:val="auto"/>
                <w:sz w:val="21"/>
                <w:szCs w:val="24"/>
                <w:highlight w:val="none"/>
                <w:vertAlign w:val="subscript"/>
              </w:rPr>
              <w:t>c</w:t>
            </w:r>
            <w:r>
              <w:rPr>
                <w:rFonts w:hint="eastAsia" w:ascii="Times New Roman" w:hAnsi="Times New Roman" w:eastAsia="宋体" w:cs="宋体"/>
                <w:color w:val="auto"/>
                <w:sz w:val="21"/>
                <w:szCs w:val="24"/>
                <w:highlight w:val="none"/>
              </w:rPr>
              <w:t>——综合除尘效率，%，</w:t>
            </w:r>
            <w:r>
              <w:rPr>
                <w:rFonts w:hint="default" w:ascii="Times New Roman" w:hAnsi="Times New Roman" w:cs="Times New Roman"/>
                <w:color w:val="auto"/>
                <w:sz w:val="21"/>
                <w:szCs w:val="21"/>
              </w:rPr>
              <w:t>根据《排放源统计调查产排污核算方法和系数手册》-4430工业锅炉（热力生产和供应行业）产污系数表-</w:t>
            </w:r>
            <w:r>
              <w:rPr>
                <w:rFonts w:hint="eastAsia" w:ascii="Times New Roman" w:hAnsi="Times New Roman" w:cs="Times New Roman"/>
                <w:color w:val="auto"/>
                <w:sz w:val="21"/>
                <w:szCs w:val="21"/>
                <w:lang w:val="en-US" w:eastAsia="zh-CN"/>
              </w:rPr>
              <w:t>燃煤</w:t>
            </w:r>
            <w:r>
              <w:rPr>
                <w:rFonts w:hint="default" w:ascii="Times New Roman" w:hAnsi="Times New Roman" w:cs="Times New Roman"/>
                <w:color w:val="auto"/>
                <w:sz w:val="21"/>
                <w:szCs w:val="21"/>
              </w:rPr>
              <w:t>工业锅炉，袋式除尘器除尘效率取99.</w:t>
            </w:r>
            <w:r>
              <w:rPr>
                <w:rFonts w:hint="eastAsia" w:ascii="Times New Roman" w:hAnsi="Times New Roman" w:cs="Times New Roman"/>
                <w:color w:val="auto"/>
                <w:sz w:val="21"/>
                <w:szCs w:val="21"/>
                <w:lang w:val="en-US" w:eastAsia="zh-CN"/>
              </w:rPr>
              <w:t>6</w:t>
            </w:r>
            <w:r>
              <w:rPr>
                <w:rFonts w:hint="default" w:ascii="Times New Roman" w:hAnsi="Times New Roman" w:cs="Times New Roman"/>
                <w:color w:val="auto"/>
                <w:sz w:val="21"/>
                <w:szCs w:val="21"/>
              </w:rPr>
              <w:t>%；</w:t>
            </w:r>
          </w:p>
          <w:p w14:paraId="2D89BB60">
            <w:pPr>
              <w:pStyle w:val="257"/>
              <w:keepNext w:val="0"/>
              <w:keepLines w:val="0"/>
              <w:pageBreakBefore w:val="0"/>
              <w:widowControl w:val="0"/>
              <w:kinsoku/>
              <w:wordWrap/>
              <w:overflowPunct/>
              <w:topLinePunct w:val="0"/>
              <w:autoSpaceDE w:val="0"/>
              <w:autoSpaceDN/>
              <w:bidi w:val="0"/>
              <w:adjustRightInd/>
              <w:snapToGrid/>
              <w:spacing w:line="360" w:lineRule="auto"/>
              <w:textAlignment w:val="auto"/>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color w:val="auto"/>
                <w:sz w:val="21"/>
                <w:szCs w:val="24"/>
                <w:highlight w:val="none"/>
              </w:rPr>
              <w:t>C</w:t>
            </w:r>
            <w:r>
              <w:rPr>
                <w:rFonts w:hint="eastAsia" w:ascii="Times New Roman" w:hAnsi="Times New Roman" w:eastAsia="宋体" w:cs="宋体"/>
                <w:color w:val="auto"/>
                <w:sz w:val="21"/>
                <w:szCs w:val="24"/>
                <w:highlight w:val="none"/>
                <w:vertAlign w:val="subscript"/>
              </w:rPr>
              <w:t>fh</w:t>
            </w:r>
            <w:r>
              <w:rPr>
                <w:rFonts w:hint="eastAsia" w:ascii="Times New Roman" w:hAnsi="Times New Roman" w:eastAsia="宋体" w:cs="宋体"/>
                <w:color w:val="auto"/>
                <w:sz w:val="21"/>
                <w:szCs w:val="24"/>
                <w:highlight w:val="none"/>
              </w:rPr>
              <w:t>——飞灰中的可燃物含量，%，根据《燃煤工业锅炉节能监测》（GB/T15317-2009），取值15%。</w:t>
            </w:r>
          </w:p>
          <w:p w14:paraId="75229068">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经计算，锅炉烟气中颗粒物排放量为</w:t>
            </w:r>
            <w:r>
              <w:rPr>
                <w:rFonts w:hint="eastAsia" w:ascii="Times New Roman" w:hAnsi="Times New Roman" w:eastAsia="宋体" w:cs="宋体"/>
                <w:color w:val="auto"/>
                <w:sz w:val="21"/>
                <w:szCs w:val="24"/>
                <w:highlight w:val="none"/>
                <w:lang w:val="en-US" w:eastAsia="zh-CN"/>
              </w:rPr>
              <w:t>0.</w:t>
            </w:r>
            <w:r>
              <w:rPr>
                <w:rFonts w:hint="eastAsia" w:cs="宋体"/>
                <w:color w:val="auto"/>
                <w:sz w:val="21"/>
                <w:szCs w:val="24"/>
                <w:highlight w:val="none"/>
                <w:lang w:val="en-US" w:eastAsia="zh-CN"/>
              </w:rPr>
              <w:t>03</w:t>
            </w:r>
            <w:r>
              <w:rPr>
                <w:rFonts w:hint="eastAsia" w:ascii="Times New Roman" w:hAnsi="Times New Roman" w:eastAsia="宋体" w:cs="宋体"/>
                <w:color w:val="auto"/>
                <w:sz w:val="21"/>
                <w:szCs w:val="24"/>
                <w:highlight w:val="none"/>
              </w:rPr>
              <w:t>t/</w:t>
            </w:r>
            <w:r>
              <w:rPr>
                <w:rFonts w:hint="eastAsia" w:ascii="Times New Roman" w:hAnsi="Times New Roman" w:eastAsia="宋体" w:cs="宋体"/>
                <w:color w:val="auto"/>
                <w:sz w:val="21"/>
                <w:szCs w:val="24"/>
                <w:highlight w:val="none"/>
                <w:lang w:val="en-US" w:eastAsia="zh-CN"/>
              </w:rPr>
              <w:t>a，排放速率为0.0</w:t>
            </w:r>
            <w:r>
              <w:rPr>
                <w:rFonts w:hint="eastAsia" w:cs="宋体"/>
                <w:color w:val="auto"/>
                <w:sz w:val="21"/>
                <w:szCs w:val="24"/>
                <w:highlight w:val="none"/>
                <w:lang w:val="en-US" w:eastAsia="zh-CN"/>
              </w:rPr>
              <w:t>08</w:t>
            </w:r>
            <w:r>
              <w:rPr>
                <w:rFonts w:hint="eastAsia" w:ascii="Times New Roman" w:hAnsi="Times New Roman" w:eastAsia="宋体" w:cs="宋体"/>
                <w:color w:val="auto"/>
                <w:sz w:val="21"/>
                <w:szCs w:val="24"/>
                <w:highlight w:val="none"/>
                <w:lang w:val="en-US" w:eastAsia="zh-CN"/>
              </w:rPr>
              <w:t>kg/h</w:t>
            </w:r>
            <w:r>
              <w:rPr>
                <w:rFonts w:hint="eastAsia" w:ascii="Times New Roman" w:hAnsi="Times New Roman" w:eastAsia="宋体" w:cs="宋体"/>
                <w:color w:val="auto"/>
                <w:sz w:val="21"/>
                <w:szCs w:val="24"/>
                <w:highlight w:val="none"/>
              </w:rPr>
              <w:t>，排放浓度</w:t>
            </w:r>
            <w:r>
              <w:rPr>
                <w:rFonts w:hint="eastAsia" w:cs="宋体"/>
                <w:color w:val="auto"/>
                <w:sz w:val="21"/>
                <w:szCs w:val="24"/>
                <w:highlight w:val="none"/>
                <w:lang w:val="en-US" w:eastAsia="zh-CN"/>
              </w:rPr>
              <w:t>7.13</w:t>
            </w:r>
            <w:r>
              <w:rPr>
                <w:rFonts w:hint="eastAsia" w:ascii="Times New Roman" w:hAnsi="Times New Roman" w:eastAsia="宋体" w:cs="宋体"/>
                <w:color w:val="auto"/>
                <w:sz w:val="21"/>
                <w:szCs w:val="24"/>
                <w:highlight w:val="none"/>
              </w:rPr>
              <w:t>mg/m</w:t>
            </w:r>
            <w:r>
              <w:rPr>
                <w:rFonts w:hint="eastAsia" w:ascii="Times New Roman" w:hAnsi="Times New Roman" w:eastAsia="宋体" w:cs="宋体"/>
                <w:color w:val="auto"/>
                <w:sz w:val="21"/>
                <w:szCs w:val="24"/>
                <w:highlight w:val="none"/>
                <w:vertAlign w:val="superscript"/>
              </w:rPr>
              <w:t>3</w:t>
            </w:r>
            <w:r>
              <w:rPr>
                <w:rFonts w:hint="eastAsia" w:ascii="Times New Roman" w:hAnsi="Times New Roman" w:eastAsia="宋体" w:cs="宋体"/>
                <w:color w:val="auto"/>
                <w:sz w:val="21"/>
                <w:szCs w:val="24"/>
                <w:highlight w:val="none"/>
              </w:rPr>
              <w:t>。</w:t>
            </w:r>
          </w:p>
          <w:p w14:paraId="69846AA4">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kern w:val="0"/>
                <w:sz w:val="21"/>
                <w:szCs w:val="24"/>
                <w:highlight w:val="none"/>
                <w:lang w:val="en-US" w:eastAsia="zh-CN" w:bidi="ar"/>
              </w:rPr>
              <w:t>③</w:t>
            </w:r>
            <w:r>
              <w:rPr>
                <w:rFonts w:hint="eastAsia" w:ascii="Times New Roman" w:hAnsi="Times New Roman" w:eastAsia="宋体" w:cs="宋体"/>
                <w:color w:val="auto"/>
                <w:sz w:val="21"/>
                <w:szCs w:val="24"/>
                <w:highlight w:val="none"/>
              </w:rPr>
              <w:t>二氧化硫排放量按下式计算：</w:t>
            </w:r>
          </w:p>
          <w:p w14:paraId="0BAA468E">
            <w:pPr>
              <w:pStyle w:val="257"/>
              <w:spacing w:line="240" w:lineRule="auto"/>
              <w:ind w:firstLine="0" w:firstLineChars="0"/>
              <w:jc w:val="center"/>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drawing>
                <wp:inline distT="0" distB="0" distL="114300" distR="114300">
                  <wp:extent cx="3686175" cy="504825"/>
                  <wp:effectExtent l="0" t="0" r="9525" b="3175"/>
                  <wp:docPr id="31" name="图片 3" descr="微信图片_2023031816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descr="微信图片_20230318164103"/>
                          <pic:cNvPicPr>
                            <a:picLocks noChangeAspect="1"/>
                          </pic:cNvPicPr>
                        </pic:nvPicPr>
                        <pic:blipFill>
                          <a:blip r:embed="rId21"/>
                          <a:stretch>
                            <a:fillRect/>
                          </a:stretch>
                        </pic:blipFill>
                        <pic:spPr>
                          <a:xfrm>
                            <a:off x="0" y="0"/>
                            <a:ext cx="3686175" cy="504825"/>
                          </a:xfrm>
                          <a:prstGeom prst="rect">
                            <a:avLst/>
                          </a:prstGeom>
                          <a:noFill/>
                          <a:ln>
                            <a:noFill/>
                          </a:ln>
                        </pic:spPr>
                      </pic:pic>
                    </a:graphicData>
                  </a:graphic>
                </wp:inline>
              </w:drawing>
            </w:r>
            <w:r>
              <w:rPr>
                <w:rFonts w:hint="eastAsia" w:ascii="Times New Roman" w:hAnsi="Times New Roman" w:eastAsia="宋体" w:cs="宋体"/>
                <w:color w:val="auto"/>
                <w:sz w:val="21"/>
                <w:szCs w:val="24"/>
                <w:highlight w:val="none"/>
              </w:rPr>
              <w:t xml:space="preserve"> </w:t>
            </w:r>
          </w:p>
          <w:p w14:paraId="69B84715">
            <w:pPr>
              <w:pStyle w:val="257"/>
              <w:keepNext w:val="0"/>
              <w:keepLines w:val="0"/>
              <w:pageBreakBefore w:val="0"/>
              <w:kinsoku/>
              <w:wordWrap/>
              <w:overflowPunct/>
              <w:topLinePunct w:val="0"/>
              <w:autoSpaceDE w:val="0"/>
              <w:autoSpaceDN/>
              <w:bidi w:val="0"/>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式中：</w:t>
            </w:r>
          </w:p>
          <w:p w14:paraId="249C52F5">
            <w:pPr>
              <w:pStyle w:val="257"/>
              <w:keepNext w:val="0"/>
              <w:keepLines w:val="0"/>
              <w:pageBreakBefore w:val="0"/>
              <w:kinsoku/>
              <w:wordWrap/>
              <w:overflowPunct/>
              <w:topLinePunct w:val="0"/>
              <w:autoSpaceDE w:val="0"/>
              <w:autoSpaceDN/>
              <w:bidi w:val="0"/>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E</w:t>
            </w:r>
            <w:r>
              <w:rPr>
                <w:rFonts w:hint="eastAsia" w:ascii="Times New Roman" w:hAnsi="Times New Roman" w:eastAsia="宋体" w:cs="宋体"/>
                <w:color w:val="auto"/>
                <w:sz w:val="21"/>
                <w:szCs w:val="24"/>
                <w:highlight w:val="none"/>
                <w:vertAlign w:val="subscript"/>
              </w:rPr>
              <w:t>SO2</w:t>
            </w:r>
            <w:r>
              <w:rPr>
                <w:rFonts w:hint="eastAsia" w:ascii="Times New Roman" w:hAnsi="Times New Roman" w:eastAsia="宋体" w:cs="宋体"/>
                <w:color w:val="auto"/>
                <w:sz w:val="21"/>
                <w:szCs w:val="24"/>
                <w:highlight w:val="none"/>
              </w:rPr>
              <w:t>——核算时段内二氧化硫排放量，t；</w:t>
            </w:r>
          </w:p>
          <w:p w14:paraId="5663DA4E">
            <w:pPr>
              <w:pStyle w:val="257"/>
              <w:keepNext w:val="0"/>
              <w:keepLines w:val="0"/>
              <w:pageBreakBefore w:val="0"/>
              <w:kinsoku/>
              <w:wordWrap/>
              <w:overflowPunct/>
              <w:topLinePunct w:val="0"/>
              <w:autoSpaceDE w:val="0"/>
              <w:autoSpaceDN/>
              <w:bidi w:val="0"/>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R——核算时段内锅炉燃料耗量，t，取值</w:t>
            </w:r>
            <w:r>
              <w:rPr>
                <w:rFonts w:hint="eastAsia" w:cs="宋体"/>
                <w:bCs/>
                <w:color w:val="auto"/>
                <w:sz w:val="21"/>
                <w:highlight w:val="none"/>
                <w:lang w:val="en-US" w:eastAsia="zh-CN"/>
              </w:rPr>
              <w:t>4</w:t>
            </w:r>
            <w:r>
              <w:rPr>
                <w:rFonts w:hint="eastAsia" w:ascii="Times New Roman" w:hAnsi="Times New Roman" w:eastAsia="宋体" w:cs="宋体"/>
                <w:bCs/>
                <w:color w:val="auto"/>
                <w:sz w:val="21"/>
                <w:highlight w:val="none"/>
                <w:lang w:val="en-US" w:eastAsia="zh-CN"/>
              </w:rPr>
              <w:t>00</w:t>
            </w:r>
            <w:r>
              <w:rPr>
                <w:rFonts w:hint="eastAsia" w:ascii="Times New Roman" w:hAnsi="Times New Roman" w:eastAsia="宋体" w:cs="宋体"/>
                <w:color w:val="auto"/>
                <w:sz w:val="21"/>
                <w:highlight w:val="none"/>
              </w:rPr>
              <w:t>t/</w:t>
            </w:r>
            <w:r>
              <w:rPr>
                <w:rFonts w:hint="eastAsia" w:ascii="Times New Roman" w:hAnsi="Times New Roman" w:eastAsia="宋体" w:cs="宋体"/>
                <w:color w:val="auto"/>
                <w:sz w:val="21"/>
                <w:highlight w:val="none"/>
                <w:lang w:val="en-US" w:eastAsia="zh-CN"/>
              </w:rPr>
              <w:t>a</w:t>
            </w:r>
            <w:r>
              <w:rPr>
                <w:rFonts w:hint="eastAsia" w:ascii="Times New Roman" w:hAnsi="Times New Roman" w:eastAsia="宋体" w:cs="宋体"/>
                <w:color w:val="auto"/>
                <w:sz w:val="21"/>
                <w:szCs w:val="24"/>
                <w:highlight w:val="none"/>
              </w:rPr>
              <w:t>；</w:t>
            </w:r>
          </w:p>
          <w:p w14:paraId="470882AD">
            <w:pPr>
              <w:pStyle w:val="124"/>
              <w:keepNext w:val="0"/>
              <w:keepLines w:val="0"/>
              <w:pageBreakBefore w:val="0"/>
              <w:kinsoku/>
              <w:wordWrap/>
              <w:overflowPunct/>
              <w:topLinePunct w:val="0"/>
              <w:autoSpaceDN/>
              <w:bidi w:val="0"/>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S</w:t>
            </w:r>
            <w:r>
              <w:rPr>
                <w:rFonts w:hint="eastAsia" w:ascii="Times New Roman" w:hAnsi="Times New Roman" w:eastAsia="宋体" w:cs="宋体"/>
                <w:color w:val="auto"/>
                <w:sz w:val="21"/>
                <w:szCs w:val="24"/>
                <w:highlight w:val="none"/>
                <w:vertAlign w:val="subscript"/>
              </w:rPr>
              <w:t>ar</w:t>
            </w:r>
            <w:r>
              <w:rPr>
                <w:rFonts w:hint="eastAsia" w:ascii="Times New Roman" w:hAnsi="Times New Roman" w:eastAsia="宋体" w:cs="宋体"/>
                <w:color w:val="auto"/>
                <w:sz w:val="21"/>
                <w:szCs w:val="24"/>
                <w:highlight w:val="none"/>
              </w:rPr>
              <w:t>——收到基硫的质量分数，%，</w:t>
            </w:r>
            <w:r>
              <w:rPr>
                <w:rFonts w:hint="eastAsia" w:ascii="Times New Roman" w:hAnsi="Times New Roman" w:eastAsia="宋体" w:cs="宋体"/>
                <w:iCs/>
                <w:color w:val="auto"/>
                <w:sz w:val="21"/>
                <w:szCs w:val="24"/>
                <w:highlight w:val="none"/>
              </w:rPr>
              <w:t>取值</w:t>
            </w:r>
            <w:r>
              <w:rPr>
                <w:rFonts w:hint="eastAsia" w:ascii="Times New Roman" w:hAnsi="Times New Roman" w:eastAsia="宋体" w:cs="宋体"/>
                <w:iCs/>
                <w:color w:val="auto"/>
                <w:sz w:val="21"/>
                <w:szCs w:val="24"/>
                <w:highlight w:val="none"/>
                <w:lang w:val="en-US" w:eastAsia="zh-CN"/>
              </w:rPr>
              <w:t>0.25</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iCs/>
                <w:color w:val="auto"/>
                <w:sz w:val="21"/>
                <w:szCs w:val="24"/>
                <w:highlight w:val="none"/>
              </w:rPr>
              <w:t>；</w:t>
            </w:r>
          </w:p>
          <w:p w14:paraId="544594F9">
            <w:pPr>
              <w:pStyle w:val="257"/>
              <w:keepNext w:val="0"/>
              <w:keepLines w:val="0"/>
              <w:pageBreakBefore w:val="0"/>
              <w:kinsoku/>
              <w:wordWrap/>
              <w:overflowPunct/>
              <w:topLinePunct w:val="0"/>
              <w:autoSpaceDE w:val="0"/>
              <w:autoSpaceDN/>
              <w:bidi w:val="0"/>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q</w:t>
            </w:r>
            <w:r>
              <w:rPr>
                <w:rFonts w:hint="eastAsia" w:ascii="Times New Roman" w:hAnsi="Times New Roman" w:eastAsia="宋体" w:cs="宋体"/>
                <w:color w:val="auto"/>
                <w:sz w:val="21"/>
                <w:szCs w:val="24"/>
                <w:highlight w:val="none"/>
                <w:vertAlign w:val="subscript"/>
              </w:rPr>
              <w:t>4</w:t>
            </w:r>
            <w:r>
              <w:rPr>
                <w:rFonts w:hint="eastAsia" w:ascii="Times New Roman" w:hAnsi="Times New Roman" w:eastAsia="宋体" w:cs="宋体"/>
                <w:color w:val="auto"/>
                <w:sz w:val="21"/>
                <w:szCs w:val="24"/>
                <w:highlight w:val="none"/>
              </w:rPr>
              <w:t>——锅炉机械不完全燃烧热损失，%，取值</w:t>
            </w:r>
            <w:r>
              <w:rPr>
                <w:rFonts w:hint="eastAsia" w:ascii="Times New Roman" w:hAnsi="Times New Roman" w:eastAsia="宋体" w:cs="宋体"/>
                <w:color w:val="auto"/>
                <w:sz w:val="21"/>
                <w:szCs w:val="24"/>
                <w:highlight w:val="none"/>
                <w:lang w:val="en-US" w:eastAsia="zh-CN"/>
              </w:rPr>
              <w:t>15</w:t>
            </w:r>
            <w:r>
              <w:rPr>
                <w:rFonts w:hint="eastAsia" w:ascii="Times New Roman" w:hAnsi="Times New Roman" w:eastAsia="宋体" w:cs="宋体"/>
                <w:color w:val="auto"/>
                <w:sz w:val="21"/>
                <w:szCs w:val="24"/>
                <w:highlight w:val="none"/>
              </w:rPr>
              <w:t>%；</w:t>
            </w:r>
          </w:p>
          <w:p w14:paraId="6560D4D4">
            <w:pPr>
              <w:pStyle w:val="257"/>
              <w:keepNext w:val="0"/>
              <w:keepLines w:val="0"/>
              <w:pageBreakBefore w:val="0"/>
              <w:kinsoku/>
              <w:wordWrap/>
              <w:overflowPunct/>
              <w:topLinePunct w:val="0"/>
              <w:autoSpaceDE w:val="0"/>
              <w:autoSpaceDN/>
              <w:bidi w:val="0"/>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η</w:t>
            </w:r>
            <w:r>
              <w:rPr>
                <w:rFonts w:hint="eastAsia" w:ascii="Times New Roman" w:hAnsi="Times New Roman" w:eastAsia="宋体" w:cs="宋体"/>
                <w:color w:val="auto"/>
                <w:sz w:val="21"/>
                <w:szCs w:val="24"/>
                <w:highlight w:val="none"/>
                <w:vertAlign w:val="subscript"/>
              </w:rPr>
              <w:t>s</w:t>
            </w:r>
            <w:r>
              <w:rPr>
                <w:rFonts w:hint="eastAsia" w:ascii="Times New Roman" w:hAnsi="Times New Roman" w:eastAsia="宋体" w:cs="宋体"/>
                <w:color w:val="auto"/>
                <w:sz w:val="21"/>
                <w:szCs w:val="24"/>
                <w:highlight w:val="none"/>
              </w:rPr>
              <w:t>——脱硫效率，%，取值</w:t>
            </w:r>
            <w:r>
              <w:rPr>
                <w:rFonts w:hint="eastAsia" w:cs="宋体"/>
                <w:color w:val="auto"/>
                <w:sz w:val="21"/>
                <w:szCs w:val="24"/>
                <w:highlight w:val="none"/>
                <w:lang w:val="en-US" w:eastAsia="zh-CN"/>
              </w:rPr>
              <w:t>0</w:t>
            </w:r>
            <w:r>
              <w:rPr>
                <w:rFonts w:hint="eastAsia" w:ascii="Times New Roman" w:hAnsi="Times New Roman" w:eastAsia="宋体" w:cs="宋体"/>
                <w:color w:val="auto"/>
                <w:sz w:val="21"/>
                <w:szCs w:val="24"/>
                <w:highlight w:val="none"/>
              </w:rPr>
              <w:t>；</w:t>
            </w:r>
          </w:p>
          <w:p w14:paraId="5F4D1696">
            <w:pPr>
              <w:pStyle w:val="257"/>
              <w:keepNext w:val="0"/>
              <w:keepLines w:val="0"/>
              <w:pageBreakBefore w:val="0"/>
              <w:kinsoku/>
              <w:wordWrap/>
              <w:overflowPunct/>
              <w:topLinePunct w:val="0"/>
              <w:autoSpaceDE w:val="0"/>
              <w:autoSpaceDN/>
              <w:bidi w:val="0"/>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K——燃料中的硫燃烧后氧化成而二氧化硫的份额，取值0.</w:t>
            </w:r>
            <w:r>
              <w:rPr>
                <w:rFonts w:hint="eastAsia" w:ascii="Times New Roman" w:hAnsi="Times New Roman" w:eastAsia="宋体" w:cs="宋体"/>
                <w:color w:val="auto"/>
                <w:sz w:val="21"/>
                <w:szCs w:val="24"/>
                <w:highlight w:val="none"/>
                <w:lang w:val="en-US" w:eastAsia="zh-CN"/>
              </w:rPr>
              <w:t>8</w:t>
            </w:r>
            <w:r>
              <w:rPr>
                <w:rFonts w:hint="eastAsia" w:ascii="Times New Roman" w:hAnsi="Times New Roman" w:eastAsia="宋体" w:cs="宋体"/>
                <w:color w:val="auto"/>
                <w:sz w:val="21"/>
                <w:szCs w:val="24"/>
                <w:highlight w:val="none"/>
              </w:rPr>
              <w:t>。</w:t>
            </w:r>
          </w:p>
          <w:p w14:paraId="4E07EAC3">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经计算，锅炉烟气中二氧化硫排放量为</w:t>
            </w:r>
            <w:r>
              <w:rPr>
                <w:rFonts w:hint="eastAsia" w:cs="宋体"/>
                <w:color w:val="auto"/>
                <w:sz w:val="21"/>
                <w:szCs w:val="24"/>
                <w:highlight w:val="none"/>
                <w:lang w:val="en-US" w:eastAsia="zh-CN"/>
              </w:rPr>
              <w:t>1.36</w:t>
            </w:r>
            <w:r>
              <w:rPr>
                <w:rFonts w:hint="eastAsia" w:ascii="Times New Roman" w:hAnsi="Times New Roman" w:eastAsia="宋体" w:cs="宋体"/>
                <w:color w:val="auto"/>
                <w:sz w:val="21"/>
                <w:szCs w:val="24"/>
                <w:highlight w:val="none"/>
                <w:lang w:val="en-US" w:eastAsia="zh-CN"/>
              </w:rPr>
              <w:t>t/a</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排放速率为</w:t>
            </w:r>
            <w:r>
              <w:rPr>
                <w:rFonts w:hint="eastAsia" w:cs="宋体"/>
                <w:color w:val="auto"/>
                <w:sz w:val="21"/>
                <w:szCs w:val="24"/>
                <w:highlight w:val="none"/>
                <w:lang w:val="en-US" w:eastAsia="zh-CN"/>
              </w:rPr>
              <w:t>0.31</w:t>
            </w:r>
            <w:r>
              <w:rPr>
                <w:rFonts w:hint="eastAsia" w:ascii="Times New Roman" w:hAnsi="Times New Roman" w:eastAsia="宋体" w:cs="宋体"/>
                <w:color w:val="auto"/>
                <w:sz w:val="21"/>
                <w:szCs w:val="24"/>
                <w:highlight w:val="none"/>
                <w:lang w:val="en-US" w:eastAsia="zh-CN"/>
              </w:rPr>
              <w:t>kg/h</w:t>
            </w:r>
            <w:r>
              <w:rPr>
                <w:rFonts w:hint="eastAsia" w:ascii="Times New Roman" w:hAnsi="Times New Roman" w:eastAsia="宋体" w:cs="宋体"/>
                <w:color w:val="auto"/>
                <w:sz w:val="21"/>
                <w:szCs w:val="24"/>
                <w:highlight w:val="none"/>
              </w:rPr>
              <w:t>，排放浓度</w:t>
            </w:r>
            <w:r>
              <w:rPr>
                <w:rFonts w:hint="eastAsia" w:cs="宋体"/>
                <w:color w:val="auto"/>
                <w:sz w:val="21"/>
                <w:szCs w:val="24"/>
                <w:highlight w:val="none"/>
                <w:lang w:val="en-US" w:eastAsia="zh-CN"/>
              </w:rPr>
              <w:t>283.56</w:t>
            </w:r>
            <w:r>
              <w:rPr>
                <w:rFonts w:hint="eastAsia" w:ascii="Times New Roman" w:hAnsi="Times New Roman" w:eastAsia="宋体" w:cs="宋体"/>
                <w:color w:val="auto"/>
                <w:sz w:val="21"/>
                <w:szCs w:val="24"/>
                <w:highlight w:val="none"/>
              </w:rPr>
              <w:t>mg/m</w:t>
            </w:r>
            <w:r>
              <w:rPr>
                <w:rFonts w:hint="eastAsia" w:ascii="Times New Roman" w:hAnsi="Times New Roman" w:eastAsia="宋体" w:cs="宋体"/>
                <w:color w:val="auto"/>
                <w:sz w:val="21"/>
                <w:szCs w:val="24"/>
                <w:highlight w:val="none"/>
                <w:vertAlign w:val="superscript"/>
              </w:rPr>
              <w:t>3</w:t>
            </w:r>
            <w:r>
              <w:rPr>
                <w:rFonts w:hint="eastAsia" w:ascii="Times New Roman" w:hAnsi="Times New Roman" w:eastAsia="宋体" w:cs="宋体"/>
                <w:color w:val="auto"/>
                <w:sz w:val="21"/>
                <w:szCs w:val="24"/>
                <w:highlight w:val="none"/>
              </w:rPr>
              <w:t>。</w:t>
            </w:r>
          </w:p>
          <w:p w14:paraId="5FE4BA9E">
            <w:pPr>
              <w:pStyle w:val="114"/>
              <w:keepNext w:val="0"/>
              <w:keepLines w:val="0"/>
              <w:pageBreakBefore w:val="0"/>
              <w:widowControl w:val="0"/>
              <w:kinsoku/>
              <w:wordWrap/>
              <w:overflowPunct/>
              <w:topLinePunct w:val="0"/>
              <w:autoSpaceDN/>
              <w:bidi w:val="0"/>
              <w:adjustRightInd/>
              <w:snapToGrid/>
              <w:spacing w:line="360" w:lineRule="auto"/>
              <w:ind w:firstLine="480"/>
              <w:textAlignment w:val="auto"/>
              <w:rPr>
                <w:rFonts w:hint="eastAsia" w:ascii="Times New Roman" w:hAnsi="Times New Roman" w:eastAsia="宋体" w:cs="宋体"/>
                <w:bCs/>
                <w:color w:val="auto"/>
                <w:sz w:val="21"/>
                <w:szCs w:val="24"/>
                <w:highlight w:val="none"/>
              </w:rPr>
            </w:pPr>
            <w:r>
              <w:rPr>
                <w:rFonts w:hint="eastAsia" w:ascii="Times New Roman" w:hAnsi="Times New Roman" w:eastAsia="宋体" w:cs="宋体"/>
                <w:color w:val="auto"/>
                <w:kern w:val="0"/>
                <w:sz w:val="21"/>
                <w:szCs w:val="24"/>
                <w:highlight w:val="none"/>
                <w:lang w:val="en-US" w:eastAsia="zh-CN" w:bidi="ar"/>
              </w:rPr>
              <w:t>④</w:t>
            </w:r>
            <w:r>
              <w:rPr>
                <w:rFonts w:hint="eastAsia" w:ascii="Times New Roman" w:hAnsi="Times New Roman" w:eastAsia="宋体" w:cs="宋体"/>
                <w:bCs/>
                <w:color w:val="auto"/>
                <w:sz w:val="21"/>
                <w:szCs w:val="24"/>
                <w:highlight w:val="none"/>
                <w:lang w:val="en-US" w:eastAsia="zh-CN"/>
              </w:rPr>
              <w:t>氮氧化物</w:t>
            </w:r>
            <w:r>
              <w:rPr>
                <w:rFonts w:hint="eastAsia" w:ascii="Times New Roman" w:hAnsi="Times New Roman" w:eastAsia="宋体" w:cs="宋体"/>
                <w:bCs/>
                <w:color w:val="auto"/>
                <w:sz w:val="21"/>
                <w:szCs w:val="24"/>
                <w:highlight w:val="none"/>
              </w:rPr>
              <w:t>排放量按下</w:t>
            </w:r>
            <w:r>
              <w:rPr>
                <w:rFonts w:hint="eastAsia" w:ascii="Times New Roman" w:hAnsi="Times New Roman" w:eastAsia="宋体" w:cs="宋体"/>
                <w:bCs/>
                <w:color w:val="auto"/>
                <w:sz w:val="21"/>
                <w:szCs w:val="24"/>
                <w:highlight w:val="none"/>
                <w:lang w:eastAsia="zh-CN"/>
              </w:rPr>
              <w:t>表</w:t>
            </w:r>
            <w:r>
              <w:rPr>
                <w:rFonts w:hint="eastAsia" w:ascii="Times New Roman" w:hAnsi="Times New Roman" w:eastAsia="宋体" w:cs="宋体"/>
                <w:bCs/>
                <w:color w:val="auto"/>
                <w:sz w:val="21"/>
                <w:szCs w:val="24"/>
                <w:highlight w:val="none"/>
              </w:rPr>
              <w:t>计算：</w:t>
            </w:r>
          </w:p>
          <w:p w14:paraId="1DCB3516">
            <w:pPr>
              <w:pStyle w:val="126"/>
              <w:spacing w:line="360" w:lineRule="auto"/>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highlight w:val="none"/>
              </w:rPr>
              <w:drawing>
                <wp:inline distT="0" distB="0" distL="114300" distR="114300">
                  <wp:extent cx="2981960" cy="614045"/>
                  <wp:effectExtent l="0" t="0" r="2540" b="8255"/>
                  <wp:docPr id="3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7"/>
                          <pic:cNvPicPr>
                            <a:picLocks noChangeAspect="1"/>
                          </pic:cNvPicPr>
                        </pic:nvPicPr>
                        <pic:blipFill>
                          <a:blip r:embed="rId22"/>
                          <a:stretch>
                            <a:fillRect/>
                          </a:stretch>
                        </pic:blipFill>
                        <pic:spPr>
                          <a:xfrm>
                            <a:off x="0" y="0"/>
                            <a:ext cx="2981960" cy="614045"/>
                          </a:xfrm>
                          <a:prstGeom prst="rect">
                            <a:avLst/>
                          </a:prstGeom>
                          <a:noFill/>
                          <a:ln>
                            <a:noFill/>
                          </a:ln>
                        </pic:spPr>
                      </pic:pic>
                    </a:graphicData>
                  </a:graphic>
                </wp:inline>
              </w:drawing>
            </w:r>
          </w:p>
          <w:p w14:paraId="7D519BC6">
            <w:pPr>
              <w:adjustRightInd/>
              <w:snapToGrid w:val="0"/>
              <w:spacing w:line="360" w:lineRule="auto"/>
              <w:ind w:firstLine="420" w:firstLineChars="200"/>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sz w:val="21"/>
                <w:szCs w:val="24"/>
                <w:highlight w:val="none"/>
              </w:rPr>
              <w:t>式中：</w:t>
            </w:r>
            <w:r>
              <w:rPr>
                <w:rFonts w:hint="eastAsia" w:ascii="Times New Roman" w:hAnsi="Times New Roman" w:eastAsia="宋体" w:cs="宋体"/>
                <w:color w:val="auto"/>
                <w:position w:val="-14"/>
                <w:sz w:val="21"/>
                <w:szCs w:val="24"/>
                <w:highlight w:val="none"/>
              </w:rPr>
              <w:object>
                <v:shape id="_x0000_i1026" o:spt="75" type="#_x0000_t75" style="height:19pt;width:27pt;" o:ole="t" filled="f" o:preferrelative="t" stroked="f" coordsize="21600,21600">
                  <v:path/>
                  <v:fill on="f" focussize="0,0"/>
                  <v:stroke on="f"/>
                  <v:imagedata r:id="rId24" o:title=""/>
                  <o:lock v:ext="edit" aspectratio="t"/>
                  <w10:wrap type="none"/>
                  <w10:anchorlock/>
                </v:shape>
                <o:OLEObject Type="Embed" ProgID="Equation.KSEE3" ShapeID="_x0000_i1026" DrawAspect="Content" ObjectID="_1468075726" r:id="rId23">
                  <o:LockedField>false</o:LockedField>
                </o:OLEObject>
              </w:object>
            </w:r>
            <w:r>
              <w:rPr>
                <w:rFonts w:hint="eastAsia" w:ascii="Times New Roman" w:hAnsi="Times New Roman" w:eastAsia="宋体" w:cs="宋体"/>
                <w:color w:val="auto"/>
                <w:sz w:val="21"/>
                <w:szCs w:val="24"/>
                <w:highlight w:val="none"/>
              </w:rPr>
              <w:t>--核算时段内氮氧化物排放量，t；</w:t>
            </w:r>
          </w:p>
          <w:p w14:paraId="5E8EDFDB">
            <w:pPr>
              <w:adjustRightInd/>
              <w:snapToGrid w:val="0"/>
              <w:spacing w:line="360" w:lineRule="auto"/>
              <w:ind w:firstLine="420" w:firstLineChars="200"/>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position w:val="-4"/>
                <w:sz w:val="21"/>
                <w:szCs w:val="24"/>
                <w:highlight w:val="none"/>
              </w:rPr>
              <w:object>
                <v:shape id="_x0000_i1027" o:spt="75" type="#_x0000_t75" style="height:13pt;width:12pt;" o:ole="t" filled="f" o:preferrelative="t" stroked="f" coordsize="21600,21600">
                  <v:path/>
                  <v:fill on="f" focussize="0,0"/>
                  <v:stroke on="f"/>
                  <v:imagedata r:id="rId26" o:title=""/>
                  <o:lock v:ext="edit" aspectratio="t"/>
                  <w10:wrap type="none"/>
                  <w10:anchorlock/>
                </v:shape>
                <o:OLEObject Type="Embed" ProgID="Equation.KSEE3" ShapeID="_x0000_i1027" DrawAspect="Content" ObjectID="_1468075727" r:id="rId25">
                  <o:LockedField>false</o:LockedField>
                </o:OLEObject>
              </w:objec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核算时间内燃料耗量</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highlight w:val="none"/>
              </w:rPr>
              <w:t>取值</w:t>
            </w:r>
            <w:r>
              <w:rPr>
                <w:rFonts w:hint="eastAsia" w:cs="宋体"/>
                <w:bCs/>
                <w:color w:val="auto"/>
                <w:sz w:val="21"/>
                <w:highlight w:val="none"/>
                <w:lang w:val="en-US" w:eastAsia="zh-CN"/>
              </w:rPr>
              <w:t>4</w:t>
            </w:r>
            <w:r>
              <w:rPr>
                <w:rFonts w:hint="eastAsia" w:ascii="Times New Roman" w:hAnsi="Times New Roman" w:eastAsia="宋体" w:cs="宋体"/>
                <w:bCs/>
                <w:color w:val="auto"/>
                <w:sz w:val="21"/>
                <w:highlight w:val="none"/>
                <w:lang w:val="en-US" w:eastAsia="zh-CN"/>
              </w:rPr>
              <w:t>00</w:t>
            </w:r>
            <w:r>
              <w:rPr>
                <w:rFonts w:hint="eastAsia" w:ascii="Times New Roman" w:hAnsi="Times New Roman" w:eastAsia="宋体" w:cs="宋体"/>
                <w:color w:val="auto"/>
                <w:sz w:val="21"/>
                <w:highlight w:val="none"/>
              </w:rPr>
              <w:t>t/</w:t>
            </w:r>
            <w:r>
              <w:rPr>
                <w:rFonts w:hint="eastAsia" w:ascii="Times New Roman" w:hAnsi="Times New Roman" w:eastAsia="宋体" w:cs="宋体"/>
                <w:color w:val="auto"/>
                <w:sz w:val="21"/>
                <w:highlight w:val="none"/>
                <w:lang w:val="en-US" w:eastAsia="zh-CN"/>
              </w:rPr>
              <w:t>a</w:t>
            </w:r>
            <w:r>
              <w:rPr>
                <w:rFonts w:hint="eastAsia" w:ascii="Times New Roman" w:hAnsi="Times New Roman" w:eastAsia="宋体" w:cs="宋体"/>
                <w:color w:val="auto"/>
                <w:sz w:val="21"/>
                <w:szCs w:val="24"/>
                <w:highlight w:val="none"/>
              </w:rPr>
              <w:t>；</w:t>
            </w:r>
          </w:p>
          <w:p w14:paraId="60DDB4F7">
            <w:pPr>
              <w:adjustRightInd/>
              <w:snapToGrid w:val="0"/>
              <w:spacing w:line="360" w:lineRule="auto"/>
              <w:ind w:firstLine="420" w:firstLineChars="200"/>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position w:val="-14"/>
                <w:sz w:val="21"/>
                <w:szCs w:val="24"/>
                <w:highlight w:val="none"/>
              </w:rPr>
              <w:object>
                <v:shape id="_x0000_i1028" o:spt="75" type="#_x0000_t75" style="height:19pt;width:13.95pt;" o:ole="t" filled="f" o:preferrelative="t" stroked="f" coordsize="21600,21600">
                  <v:path/>
                  <v:fill on="f" focussize="0,0"/>
                  <v:stroke on="f"/>
                  <v:imagedata r:id="rId28" o:title=""/>
                  <o:lock v:ext="edit" aspectratio="t"/>
                  <w10:wrap type="none"/>
                  <w10:anchorlock/>
                </v:shape>
                <o:OLEObject Type="Embed" ProgID="Equation.KSEE3" ShapeID="_x0000_i1028" DrawAspect="Content" ObjectID="_1468075728" r:id="rId27">
                  <o:LockedField>false</o:LockedField>
                </o:OLEObject>
              </w:objec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产污系数，kg/t，根据《排污许可证申请与核发技术规范 锅炉》（HJ983-2018）附表F.</w:t>
            </w:r>
            <w:r>
              <w:rPr>
                <w:rFonts w:hint="eastAsia" w:cs="宋体"/>
                <w:color w:val="auto"/>
                <w:sz w:val="21"/>
                <w:szCs w:val="24"/>
                <w:highlight w:val="none"/>
                <w:lang w:val="en-US" w:eastAsia="zh-CN"/>
              </w:rPr>
              <w:t>1</w:t>
            </w:r>
            <w:r>
              <w:rPr>
                <w:rFonts w:hint="eastAsia" w:ascii="Times New Roman" w:hAnsi="Times New Roman" w:eastAsia="宋体" w:cs="宋体"/>
                <w:color w:val="auto"/>
                <w:sz w:val="21"/>
                <w:szCs w:val="24"/>
                <w:highlight w:val="none"/>
                <w:lang w:val="en-US" w:eastAsia="zh-CN"/>
              </w:rPr>
              <w:t>，本项目取</w:t>
            </w:r>
            <w:r>
              <w:rPr>
                <w:rFonts w:hint="eastAsia" w:cs="宋体"/>
                <w:color w:val="auto"/>
                <w:sz w:val="21"/>
                <w:szCs w:val="24"/>
                <w:highlight w:val="none"/>
                <w:lang w:val="en-US" w:eastAsia="zh-CN"/>
              </w:rPr>
              <w:t>2.7千克/吨-燃料</w:t>
            </w:r>
            <w:r>
              <w:rPr>
                <w:rFonts w:hint="eastAsia" w:ascii="Times New Roman" w:hAnsi="Times New Roman" w:eastAsia="宋体" w:cs="宋体"/>
                <w:color w:val="auto"/>
                <w:sz w:val="21"/>
                <w:szCs w:val="24"/>
                <w:highlight w:val="none"/>
              </w:rPr>
              <w:t>；</w:t>
            </w:r>
          </w:p>
          <w:p w14:paraId="6CAEB417">
            <w:pPr>
              <w:adjustRightInd/>
              <w:snapToGrid w:val="0"/>
              <w:spacing w:line="360" w:lineRule="auto"/>
              <w:ind w:firstLine="420" w:firstLineChars="200"/>
              <w:rPr>
                <w:rFonts w:hint="eastAsia" w:ascii="Times New Roman" w:hAnsi="Times New Roman" w:eastAsia="宋体" w:cs="宋体"/>
                <w:color w:val="auto"/>
                <w:sz w:val="21"/>
                <w:szCs w:val="24"/>
                <w:highlight w:val="none"/>
              </w:rPr>
            </w:pPr>
            <w:r>
              <w:rPr>
                <w:rFonts w:hint="eastAsia" w:ascii="Times New Roman" w:hAnsi="Times New Roman" w:eastAsia="宋体" w:cs="宋体"/>
                <w:color w:val="auto"/>
                <w:position w:val="-10"/>
                <w:sz w:val="21"/>
                <w:szCs w:val="24"/>
                <w:highlight w:val="none"/>
              </w:rPr>
              <w:object>
                <v:shape id="_x0000_i1029" o:spt="75" type="#_x0000_t75" style="height:13pt;width:10pt;" o:ole="t" filled="f" o:preferrelative="t" stroked="f" coordsize="21600,21600">
                  <v:path/>
                  <v:fill on="f" focussize="0,0"/>
                  <v:stroke on="f"/>
                  <v:imagedata r:id="rId30" o:title=""/>
                  <o:lock v:ext="edit" aspectratio="t"/>
                  <w10:wrap type="none"/>
                  <w10:anchorlock/>
                </v:shape>
                <o:OLEObject Type="Embed" ProgID="Equation.KSEE3" ShapeID="_x0000_i1029" DrawAspect="Content" ObjectID="_1468075729" r:id="rId29">
                  <o:LockedField>false</o:LockedField>
                </o:OLEObject>
              </w:objec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污染物的</w:t>
            </w:r>
            <w:r>
              <w:rPr>
                <w:rFonts w:hint="eastAsia" w:ascii="Times New Roman" w:hAnsi="Times New Roman" w:eastAsia="宋体" w:cs="宋体"/>
                <w:color w:val="auto"/>
                <w:sz w:val="21"/>
                <w:szCs w:val="24"/>
                <w:highlight w:val="none"/>
              </w:rPr>
              <w:t>脱硝效率，%，本</w:t>
            </w:r>
            <w:r>
              <w:rPr>
                <w:rFonts w:hint="eastAsia" w:ascii="Times New Roman" w:hAnsi="Times New Roman" w:eastAsia="宋体" w:cs="宋体"/>
                <w:color w:val="auto"/>
                <w:sz w:val="21"/>
                <w:szCs w:val="24"/>
                <w:highlight w:val="none"/>
                <w:lang w:val="en-US" w:eastAsia="zh-CN"/>
              </w:rPr>
              <w:t>项目</w:t>
            </w:r>
            <w:r>
              <w:rPr>
                <w:rFonts w:hint="eastAsia" w:ascii="Times New Roman" w:hAnsi="Times New Roman" w:eastAsia="宋体" w:cs="宋体"/>
                <w:color w:val="auto"/>
                <w:sz w:val="21"/>
                <w:szCs w:val="24"/>
                <w:highlight w:val="none"/>
              </w:rPr>
              <w:t>取</w:t>
            </w:r>
            <w:r>
              <w:rPr>
                <w:rFonts w:hint="eastAsia" w:ascii="Times New Roman" w:hAnsi="Times New Roman" w:eastAsia="宋体" w:cs="宋体"/>
                <w:color w:val="auto"/>
                <w:sz w:val="21"/>
                <w:szCs w:val="24"/>
                <w:highlight w:val="none"/>
                <w:lang w:val="en-US" w:eastAsia="zh-CN"/>
              </w:rPr>
              <w:t>0</w:t>
            </w:r>
            <w:r>
              <w:rPr>
                <w:rFonts w:hint="eastAsia" w:ascii="Times New Roman" w:hAnsi="Times New Roman" w:eastAsia="宋体" w:cs="宋体"/>
                <w:color w:val="auto"/>
                <w:sz w:val="21"/>
                <w:szCs w:val="24"/>
                <w:highlight w:val="none"/>
              </w:rPr>
              <w:t>；</w:t>
            </w:r>
          </w:p>
          <w:p w14:paraId="2C547DF9">
            <w:pPr>
              <w:pStyle w:val="260"/>
              <w:keepNext w:val="0"/>
              <w:keepLines w:val="0"/>
              <w:pageBreakBefore w:val="0"/>
              <w:kinsoku/>
              <w:wordWrap/>
              <w:overflowPunct/>
              <w:topLinePunct w:val="0"/>
              <w:autoSpaceDE/>
              <w:autoSpaceDN/>
              <w:bidi w:val="0"/>
              <w:spacing w:line="360" w:lineRule="auto"/>
              <w:ind w:firstLine="464"/>
              <w:jc w:val="both"/>
              <w:textAlignment w:val="auto"/>
              <w:rPr>
                <w:rFonts w:hint="eastAsia" w:ascii="Times New Roman" w:hAnsi="Times New Roman" w:eastAsia="宋体" w:cs="宋体"/>
                <w:color w:val="auto"/>
                <w:sz w:val="21"/>
                <w:szCs w:val="24"/>
                <w:highlight w:val="none"/>
                <w:lang w:val="en-US" w:eastAsia="zh-CN"/>
              </w:rPr>
            </w:pPr>
            <w:r>
              <w:rPr>
                <w:rFonts w:hint="eastAsia" w:ascii="Times New Roman" w:hAnsi="Times New Roman" w:eastAsia="宋体" w:cs="宋体"/>
                <w:color w:val="auto"/>
                <w:sz w:val="21"/>
                <w:szCs w:val="24"/>
                <w:highlight w:val="none"/>
              </w:rPr>
              <w:t>经计算，锅炉烟气中</w:t>
            </w:r>
            <w:r>
              <w:rPr>
                <w:rFonts w:hint="eastAsia" w:ascii="Times New Roman" w:hAnsi="Times New Roman" w:eastAsia="宋体" w:cs="宋体"/>
                <w:color w:val="auto"/>
                <w:sz w:val="21"/>
                <w:szCs w:val="24"/>
                <w:highlight w:val="none"/>
                <w:lang w:val="en-US" w:eastAsia="zh-CN"/>
              </w:rPr>
              <w:t>氮氧化物</w:t>
            </w:r>
            <w:r>
              <w:rPr>
                <w:rFonts w:hint="eastAsia" w:ascii="Times New Roman" w:hAnsi="Times New Roman" w:eastAsia="宋体" w:cs="宋体"/>
                <w:color w:val="auto"/>
                <w:sz w:val="21"/>
                <w:szCs w:val="24"/>
                <w:highlight w:val="none"/>
              </w:rPr>
              <w:t>排放量为</w:t>
            </w:r>
            <w:r>
              <w:rPr>
                <w:rFonts w:hint="eastAsia" w:cs="宋体"/>
                <w:color w:val="auto"/>
                <w:sz w:val="21"/>
                <w:szCs w:val="24"/>
                <w:highlight w:val="none"/>
                <w:lang w:val="en-US" w:eastAsia="zh-CN"/>
              </w:rPr>
              <w:t>1.08</w:t>
            </w:r>
            <w:r>
              <w:rPr>
                <w:rFonts w:hint="eastAsia" w:ascii="Times New Roman" w:hAnsi="Times New Roman" w:eastAsia="宋体" w:cs="宋体"/>
                <w:color w:val="auto"/>
                <w:sz w:val="21"/>
                <w:szCs w:val="24"/>
                <w:highlight w:val="none"/>
                <w:lang w:val="en-US" w:eastAsia="zh-CN"/>
              </w:rPr>
              <w:t>t</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a</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排放速率为</w:t>
            </w:r>
            <w:r>
              <w:rPr>
                <w:rFonts w:hint="eastAsia" w:cs="宋体"/>
                <w:color w:val="auto"/>
                <w:sz w:val="21"/>
                <w:szCs w:val="24"/>
                <w:highlight w:val="none"/>
                <w:lang w:val="en-US" w:eastAsia="zh-CN"/>
              </w:rPr>
              <w:t>0.25</w:t>
            </w:r>
            <w:r>
              <w:rPr>
                <w:rFonts w:hint="eastAsia" w:ascii="Times New Roman" w:hAnsi="Times New Roman" w:eastAsia="宋体" w:cs="宋体"/>
                <w:color w:val="auto"/>
                <w:sz w:val="21"/>
                <w:szCs w:val="24"/>
                <w:highlight w:val="none"/>
                <w:lang w:val="en-US" w:eastAsia="zh-CN"/>
              </w:rPr>
              <w:t>kg/h</w:t>
            </w:r>
            <w:r>
              <w:rPr>
                <w:rFonts w:hint="eastAsia" w:ascii="Times New Roman" w:hAnsi="Times New Roman" w:eastAsia="宋体" w:cs="宋体"/>
                <w:color w:val="auto"/>
                <w:sz w:val="21"/>
                <w:szCs w:val="24"/>
                <w:highlight w:val="none"/>
              </w:rPr>
              <w:t>，排放浓度</w:t>
            </w:r>
            <w:r>
              <w:rPr>
                <w:rFonts w:hint="eastAsia" w:cs="宋体"/>
                <w:color w:val="auto"/>
                <w:sz w:val="21"/>
                <w:szCs w:val="24"/>
                <w:highlight w:val="none"/>
                <w:lang w:val="en-US" w:eastAsia="zh-CN"/>
              </w:rPr>
              <w:t>225.18</w:t>
            </w:r>
            <w:r>
              <w:rPr>
                <w:rFonts w:hint="eastAsia" w:ascii="Times New Roman" w:hAnsi="Times New Roman" w:eastAsia="宋体" w:cs="宋体"/>
                <w:color w:val="auto"/>
                <w:sz w:val="21"/>
                <w:szCs w:val="24"/>
                <w:highlight w:val="none"/>
              </w:rPr>
              <w:t>mg/m</w:t>
            </w:r>
            <w:r>
              <w:rPr>
                <w:rFonts w:hint="eastAsia" w:ascii="Times New Roman" w:hAnsi="Times New Roman" w:eastAsia="宋体" w:cs="宋体"/>
                <w:color w:val="auto"/>
                <w:sz w:val="21"/>
                <w:szCs w:val="24"/>
                <w:highlight w:val="none"/>
                <w:vertAlign w:val="superscript"/>
              </w:rPr>
              <w:t>3</w:t>
            </w:r>
            <w:r>
              <w:rPr>
                <w:rFonts w:hint="eastAsia" w:ascii="Times New Roman" w:hAnsi="Times New Roman" w:eastAsia="宋体" w:cs="宋体"/>
                <w:color w:val="auto"/>
                <w:sz w:val="21"/>
                <w:szCs w:val="24"/>
                <w:highlight w:val="none"/>
              </w:rPr>
              <w:t>。</w:t>
            </w:r>
          </w:p>
          <w:p w14:paraId="39E41B9D">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eastAsia" w:ascii="Times New Roman" w:hAnsi="Times New Roman" w:eastAsia="宋体" w:cs="宋体"/>
                <w:color w:val="auto"/>
                <w:sz w:val="21"/>
                <w:szCs w:val="24"/>
                <w:highlight w:val="none"/>
                <w:lang w:val="en-US"/>
              </w:rPr>
            </w:pPr>
            <w:r>
              <w:rPr>
                <w:rFonts w:hint="eastAsia" w:ascii="Times New Roman" w:hAnsi="Times New Roman" w:eastAsia="宋体" w:cs="宋体"/>
                <w:bCs/>
                <w:color w:val="auto"/>
                <w:sz w:val="21"/>
                <w:szCs w:val="24"/>
                <w:highlight w:val="none"/>
                <w:lang w:val="en-US" w:eastAsia="zh-CN"/>
              </w:rPr>
              <w:t>综上，现有工程燃煤锅炉采用旋风除尘器+布袋除尘器处理烟气，</w:t>
            </w:r>
            <w:r>
              <w:rPr>
                <w:rFonts w:hint="eastAsia" w:ascii="Times New Roman" w:hAnsi="Times New Roman" w:eastAsia="宋体" w:cs="宋体"/>
                <w:color w:val="auto"/>
                <w:sz w:val="21"/>
                <w:szCs w:val="24"/>
                <w:highlight w:val="none"/>
              </w:rPr>
              <w:t>锅炉烟气中颗粒物排放量为</w:t>
            </w:r>
            <w:r>
              <w:rPr>
                <w:rFonts w:hint="eastAsia" w:cs="宋体"/>
                <w:color w:val="auto"/>
                <w:sz w:val="21"/>
                <w:szCs w:val="24"/>
                <w:highlight w:val="none"/>
                <w:lang w:val="en-US" w:eastAsia="zh-CN"/>
              </w:rPr>
              <w:t>0.03</w:t>
            </w:r>
            <w:r>
              <w:rPr>
                <w:rFonts w:hint="eastAsia" w:ascii="Times New Roman" w:hAnsi="Times New Roman" w:eastAsia="宋体" w:cs="宋体"/>
                <w:color w:val="auto"/>
                <w:sz w:val="21"/>
                <w:szCs w:val="24"/>
                <w:highlight w:val="none"/>
              </w:rPr>
              <w:t>t/</w:t>
            </w:r>
            <w:r>
              <w:rPr>
                <w:rFonts w:hint="eastAsia" w:ascii="Times New Roman" w:hAnsi="Times New Roman" w:eastAsia="宋体" w:cs="宋体"/>
                <w:color w:val="auto"/>
                <w:sz w:val="21"/>
                <w:szCs w:val="24"/>
                <w:highlight w:val="none"/>
                <w:lang w:val="en-US" w:eastAsia="zh-CN"/>
              </w:rPr>
              <w:t>a，排放速率为0.0</w:t>
            </w:r>
            <w:r>
              <w:rPr>
                <w:rFonts w:hint="eastAsia" w:cs="宋体"/>
                <w:color w:val="auto"/>
                <w:sz w:val="21"/>
                <w:szCs w:val="24"/>
                <w:highlight w:val="none"/>
                <w:lang w:val="en-US" w:eastAsia="zh-CN"/>
              </w:rPr>
              <w:t>08</w:t>
            </w:r>
            <w:r>
              <w:rPr>
                <w:rFonts w:hint="eastAsia" w:ascii="Times New Roman" w:hAnsi="Times New Roman" w:eastAsia="宋体" w:cs="宋体"/>
                <w:color w:val="auto"/>
                <w:sz w:val="21"/>
                <w:szCs w:val="24"/>
                <w:highlight w:val="none"/>
                <w:lang w:val="en-US" w:eastAsia="zh-CN"/>
              </w:rPr>
              <w:t>kg/h</w:t>
            </w:r>
            <w:r>
              <w:rPr>
                <w:rFonts w:hint="eastAsia" w:ascii="Times New Roman" w:hAnsi="Times New Roman" w:eastAsia="宋体" w:cs="宋体"/>
                <w:color w:val="auto"/>
                <w:sz w:val="21"/>
                <w:szCs w:val="24"/>
                <w:highlight w:val="none"/>
              </w:rPr>
              <w:t>，排放浓度</w:t>
            </w:r>
            <w:r>
              <w:rPr>
                <w:rFonts w:hint="eastAsia" w:cs="宋体"/>
                <w:color w:val="auto"/>
                <w:sz w:val="21"/>
                <w:szCs w:val="24"/>
                <w:highlight w:val="none"/>
                <w:lang w:val="en-US" w:eastAsia="zh-CN"/>
              </w:rPr>
              <w:t>7.13</w:t>
            </w:r>
            <w:r>
              <w:rPr>
                <w:rFonts w:hint="eastAsia" w:ascii="Times New Roman" w:hAnsi="Times New Roman" w:eastAsia="宋体" w:cs="宋体"/>
                <w:color w:val="auto"/>
                <w:sz w:val="21"/>
                <w:szCs w:val="24"/>
                <w:highlight w:val="none"/>
              </w:rPr>
              <w:t>mg/m</w:t>
            </w:r>
            <w:r>
              <w:rPr>
                <w:rFonts w:hint="eastAsia" w:ascii="Times New Roman" w:hAnsi="Times New Roman" w:eastAsia="宋体" w:cs="宋体"/>
                <w:color w:val="auto"/>
                <w:sz w:val="21"/>
                <w:szCs w:val="24"/>
                <w:highlight w:val="none"/>
                <w:vertAlign w:val="superscript"/>
              </w:rPr>
              <w:t>3</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rPr>
              <w:t>二氧化硫排放量为</w:t>
            </w:r>
            <w:r>
              <w:rPr>
                <w:rFonts w:hint="eastAsia" w:ascii="Times New Roman" w:hAnsi="Times New Roman" w:eastAsia="宋体" w:cs="宋体"/>
                <w:color w:val="auto"/>
                <w:sz w:val="21"/>
                <w:szCs w:val="24"/>
                <w:highlight w:val="none"/>
                <w:lang w:val="en-US" w:eastAsia="zh-CN"/>
              </w:rPr>
              <w:t>1.</w:t>
            </w:r>
            <w:r>
              <w:rPr>
                <w:rFonts w:hint="eastAsia" w:cs="宋体"/>
                <w:color w:val="auto"/>
                <w:sz w:val="21"/>
                <w:szCs w:val="24"/>
                <w:highlight w:val="none"/>
                <w:lang w:val="en-US" w:eastAsia="zh-CN"/>
              </w:rPr>
              <w:t>36</w:t>
            </w:r>
            <w:r>
              <w:rPr>
                <w:rFonts w:hint="eastAsia" w:ascii="Times New Roman" w:hAnsi="Times New Roman" w:eastAsia="宋体" w:cs="宋体"/>
                <w:color w:val="auto"/>
                <w:sz w:val="21"/>
                <w:szCs w:val="24"/>
                <w:highlight w:val="none"/>
                <w:lang w:val="en-US" w:eastAsia="zh-CN"/>
              </w:rPr>
              <w:t>t/a</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排放速率为0.3</w:t>
            </w:r>
            <w:r>
              <w:rPr>
                <w:rFonts w:hint="eastAsia" w:cs="宋体"/>
                <w:color w:val="auto"/>
                <w:sz w:val="21"/>
                <w:szCs w:val="24"/>
                <w:highlight w:val="none"/>
                <w:lang w:val="en-US" w:eastAsia="zh-CN"/>
              </w:rPr>
              <w:t>1</w:t>
            </w:r>
            <w:r>
              <w:rPr>
                <w:rFonts w:hint="eastAsia" w:ascii="Times New Roman" w:hAnsi="Times New Roman" w:eastAsia="宋体" w:cs="宋体"/>
                <w:color w:val="auto"/>
                <w:sz w:val="21"/>
                <w:szCs w:val="24"/>
                <w:highlight w:val="none"/>
                <w:lang w:val="en-US" w:eastAsia="zh-CN"/>
              </w:rPr>
              <w:t>kg/h</w:t>
            </w:r>
            <w:r>
              <w:rPr>
                <w:rFonts w:hint="eastAsia" w:ascii="Times New Roman" w:hAnsi="Times New Roman" w:eastAsia="宋体" w:cs="宋体"/>
                <w:color w:val="auto"/>
                <w:sz w:val="21"/>
                <w:szCs w:val="24"/>
                <w:highlight w:val="none"/>
              </w:rPr>
              <w:t>，排放浓度</w:t>
            </w:r>
            <w:r>
              <w:rPr>
                <w:rFonts w:hint="eastAsia" w:cs="宋体"/>
                <w:color w:val="auto"/>
                <w:sz w:val="21"/>
                <w:szCs w:val="24"/>
                <w:highlight w:val="none"/>
                <w:lang w:val="en-US" w:eastAsia="zh-CN"/>
              </w:rPr>
              <w:t>283.56</w:t>
            </w:r>
            <w:r>
              <w:rPr>
                <w:rFonts w:hint="eastAsia" w:ascii="Times New Roman" w:hAnsi="Times New Roman" w:eastAsia="宋体" w:cs="宋体"/>
                <w:color w:val="auto"/>
                <w:sz w:val="21"/>
                <w:szCs w:val="24"/>
                <w:highlight w:val="none"/>
              </w:rPr>
              <w:t>mg/m</w:t>
            </w:r>
            <w:r>
              <w:rPr>
                <w:rFonts w:hint="eastAsia" w:ascii="Times New Roman" w:hAnsi="Times New Roman" w:eastAsia="宋体" w:cs="宋体"/>
                <w:color w:val="auto"/>
                <w:sz w:val="21"/>
                <w:szCs w:val="24"/>
                <w:highlight w:val="none"/>
                <w:vertAlign w:val="superscript"/>
              </w:rPr>
              <w:t>3</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color w:val="auto"/>
                <w:sz w:val="21"/>
                <w:szCs w:val="24"/>
                <w:highlight w:val="none"/>
                <w:lang w:val="en-US" w:eastAsia="zh-CN"/>
              </w:rPr>
              <w:t>氮氧化物</w:t>
            </w:r>
            <w:r>
              <w:rPr>
                <w:rFonts w:hint="eastAsia" w:ascii="Times New Roman" w:hAnsi="Times New Roman" w:eastAsia="宋体" w:cs="宋体"/>
                <w:color w:val="auto"/>
                <w:sz w:val="21"/>
                <w:szCs w:val="24"/>
                <w:highlight w:val="none"/>
              </w:rPr>
              <w:t>排放量为</w:t>
            </w:r>
            <w:r>
              <w:rPr>
                <w:rFonts w:hint="eastAsia" w:ascii="Times New Roman" w:hAnsi="Times New Roman" w:eastAsia="宋体" w:cs="宋体"/>
                <w:color w:val="auto"/>
                <w:sz w:val="21"/>
                <w:szCs w:val="24"/>
                <w:highlight w:val="none"/>
                <w:lang w:val="en-US" w:eastAsia="zh-CN"/>
              </w:rPr>
              <w:t>1.0</w:t>
            </w:r>
            <w:r>
              <w:rPr>
                <w:rFonts w:hint="eastAsia" w:cs="宋体"/>
                <w:color w:val="auto"/>
                <w:sz w:val="21"/>
                <w:szCs w:val="24"/>
                <w:highlight w:val="none"/>
                <w:lang w:val="en-US" w:eastAsia="zh-CN"/>
              </w:rPr>
              <w:t>8</w:t>
            </w:r>
            <w:r>
              <w:rPr>
                <w:rFonts w:hint="eastAsia" w:ascii="Times New Roman" w:hAnsi="Times New Roman" w:eastAsia="宋体" w:cs="宋体"/>
                <w:color w:val="auto"/>
                <w:sz w:val="21"/>
                <w:szCs w:val="24"/>
                <w:highlight w:val="none"/>
                <w:lang w:val="en-US" w:eastAsia="zh-CN"/>
              </w:rPr>
              <w:t>t</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a</w:t>
            </w:r>
            <w:r>
              <w:rPr>
                <w:rFonts w:hint="eastAsia" w:ascii="Times New Roman" w:hAnsi="Times New Roman" w:eastAsia="宋体" w:cs="宋体"/>
                <w:color w:val="auto"/>
                <w:sz w:val="21"/>
                <w:szCs w:val="24"/>
                <w:highlight w:val="none"/>
              </w:rPr>
              <w:t>，</w:t>
            </w:r>
            <w:r>
              <w:rPr>
                <w:rFonts w:hint="eastAsia" w:ascii="Times New Roman" w:hAnsi="Times New Roman" w:eastAsia="宋体" w:cs="宋体"/>
                <w:color w:val="auto"/>
                <w:sz w:val="21"/>
                <w:szCs w:val="24"/>
                <w:highlight w:val="none"/>
                <w:lang w:val="en-US" w:eastAsia="zh-CN"/>
              </w:rPr>
              <w:t>排放速率为</w:t>
            </w:r>
            <w:r>
              <w:rPr>
                <w:rFonts w:hint="eastAsia" w:cs="宋体"/>
                <w:color w:val="auto"/>
                <w:sz w:val="21"/>
                <w:szCs w:val="24"/>
                <w:highlight w:val="none"/>
                <w:lang w:val="en-US" w:eastAsia="zh-CN"/>
              </w:rPr>
              <w:t>0.25</w:t>
            </w:r>
            <w:r>
              <w:rPr>
                <w:rFonts w:hint="eastAsia" w:ascii="Times New Roman" w:hAnsi="Times New Roman" w:eastAsia="宋体" w:cs="宋体"/>
                <w:color w:val="auto"/>
                <w:sz w:val="21"/>
                <w:szCs w:val="24"/>
                <w:highlight w:val="none"/>
                <w:lang w:val="en-US" w:eastAsia="zh-CN"/>
              </w:rPr>
              <w:t>kg/h</w:t>
            </w:r>
            <w:r>
              <w:rPr>
                <w:rFonts w:hint="eastAsia" w:ascii="Times New Roman" w:hAnsi="Times New Roman" w:eastAsia="宋体" w:cs="宋体"/>
                <w:color w:val="auto"/>
                <w:sz w:val="21"/>
                <w:szCs w:val="24"/>
                <w:highlight w:val="none"/>
              </w:rPr>
              <w:t>，排放浓度</w:t>
            </w:r>
            <w:r>
              <w:rPr>
                <w:rFonts w:hint="eastAsia" w:cs="宋体"/>
                <w:color w:val="auto"/>
                <w:sz w:val="21"/>
                <w:szCs w:val="24"/>
                <w:highlight w:val="none"/>
                <w:lang w:val="en-US" w:eastAsia="zh-CN"/>
              </w:rPr>
              <w:t>225.18</w:t>
            </w:r>
            <w:r>
              <w:rPr>
                <w:rFonts w:hint="eastAsia" w:ascii="Times New Roman" w:hAnsi="Times New Roman" w:eastAsia="宋体" w:cs="宋体"/>
                <w:color w:val="auto"/>
                <w:sz w:val="21"/>
                <w:szCs w:val="24"/>
                <w:highlight w:val="none"/>
              </w:rPr>
              <w:t>mg/m</w:t>
            </w:r>
            <w:r>
              <w:rPr>
                <w:rFonts w:hint="eastAsia" w:ascii="Times New Roman" w:hAnsi="Times New Roman" w:eastAsia="宋体" w:cs="宋体"/>
                <w:color w:val="auto"/>
                <w:sz w:val="21"/>
                <w:szCs w:val="24"/>
                <w:highlight w:val="none"/>
                <w:vertAlign w:val="superscript"/>
              </w:rPr>
              <w:t>3</w:t>
            </w:r>
            <w:r>
              <w:rPr>
                <w:rFonts w:hint="eastAsia" w:ascii="Times New Roman" w:hAnsi="Times New Roman" w:eastAsia="宋体" w:cs="宋体"/>
                <w:color w:val="auto"/>
                <w:sz w:val="21"/>
                <w:szCs w:val="24"/>
                <w:highlight w:val="none"/>
                <w:lang w:eastAsia="zh-CN"/>
              </w:rPr>
              <w:t>，</w:t>
            </w:r>
            <w:r>
              <w:rPr>
                <w:rFonts w:hint="eastAsia" w:ascii="Times New Roman" w:hAnsi="Times New Roman" w:eastAsia="宋体" w:cs="宋体"/>
                <w:bCs/>
                <w:color w:val="auto"/>
                <w:sz w:val="21"/>
                <w:highlight w:val="none"/>
                <w:lang w:val="en-US" w:eastAsia="zh-CN"/>
              </w:rPr>
              <w:t>满足</w:t>
            </w:r>
            <w:r>
              <w:rPr>
                <w:rFonts w:hint="eastAsia" w:ascii="Times New Roman" w:hAnsi="Times New Roman" w:eastAsia="宋体" w:cs="宋体"/>
                <w:bCs/>
                <w:color w:val="auto"/>
                <w:sz w:val="21"/>
                <w:highlight w:val="none"/>
                <w:lang w:eastAsia="zh-CN"/>
              </w:rPr>
              <w:t>《锅炉大气污染物排放标准》（GB13271-2014）</w:t>
            </w:r>
            <w:r>
              <w:rPr>
                <w:rFonts w:hint="eastAsia" w:cs="宋体"/>
                <w:bCs/>
                <w:color w:val="auto"/>
                <w:sz w:val="21"/>
                <w:highlight w:val="none"/>
                <w:lang w:val="en-US" w:eastAsia="zh-CN"/>
              </w:rPr>
              <w:t>表1在用锅炉</w:t>
            </w:r>
            <w:r>
              <w:rPr>
                <w:rFonts w:hint="eastAsia" w:ascii="Times New Roman" w:hAnsi="Times New Roman" w:eastAsia="宋体" w:cs="宋体"/>
                <w:color w:val="auto"/>
                <w:sz w:val="21"/>
                <w:szCs w:val="24"/>
                <w:highlight w:val="none"/>
                <w:lang w:val="en-US" w:eastAsia="zh-CN"/>
              </w:rPr>
              <w:t>大气污染物排放限值</w:t>
            </w:r>
            <w:r>
              <w:rPr>
                <w:rFonts w:hint="eastAsia" w:ascii="Times New Roman" w:hAnsi="Times New Roman" w:eastAsia="宋体" w:cs="宋体"/>
                <w:color w:val="auto"/>
                <w:sz w:val="21"/>
                <w:szCs w:val="24"/>
                <w:highlight w:val="none"/>
              </w:rPr>
              <w:t>中</w:t>
            </w:r>
            <w:r>
              <w:rPr>
                <w:rFonts w:hint="eastAsia" w:ascii="Times New Roman" w:hAnsi="Times New Roman" w:eastAsia="宋体" w:cs="宋体"/>
                <w:color w:val="auto"/>
                <w:sz w:val="21"/>
                <w:szCs w:val="24"/>
                <w:highlight w:val="none"/>
                <w:lang w:val="en-US" w:eastAsia="zh-CN"/>
              </w:rPr>
              <w:t>燃煤</w:t>
            </w:r>
            <w:r>
              <w:rPr>
                <w:rFonts w:hint="eastAsia" w:ascii="Times New Roman" w:hAnsi="Times New Roman" w:eastAsia="宋体" w:cs="宋体"/>
                <w:color w:val="auto"/>
                <w:sz w:val="21"/>
                <w:szCs w:val="24"/>
                <w:highlight w:val="none"/>
                <w:lang w:eastAsia="zh-CN"/>
              </w:rPr>
              <w:t>锅炉</w:t>
            </w:r>
            <w:r>
              <w:rPr>
                <w:rFonts w:hint="eastAsia" w:ascii="Times New Roman" w:hAnsi="Times New Roman" w:eastAsia="宋体" w:cs="宋体"/>
                <w:color w:val="auto"/>
                <w:sz w:val="21"/>
                <w:szCs w:val="24"/>
                <w:highlight w:val="none"/>
              </w:rPr>
              <w:t>大气污染物排放</w:t>
            </w:r>
            <w:r>
              <w:rPr>
                <w:rFonts w:hint="eastAsia" w:ascii="Times New Roman" w:hAnsi="Times New Roman" w:eastAsia="宋体" w:cs="宋体"/>
                <w:color w:val="auto"/>
                <w:sz w:val="21"/>
                <w:szCs w:val="24"/>
                <w:highlight w:val="none"/>
                <w:lang w:eastAsia="zh-CN"/>
              </w:rPr>
              <w:t>浓度</w:t>
            </w:r>
            <w:r>
              <w:rPr>
                <w:rFonts w:hint="eastAsia" w:ascii="Times New Roman" w:hAnsi="Times New Roman" w:eastAsia="宋体" w:cs="宋体"/>
                <w:color w:val="auto"/>
                <w:sz w:val="21"/>
                <w:szCs w:val="24"/>
                <w:highlight w:val="none"/>
              </w:rPr>
              <w:t>限值</w:t>
            </w:r>
            <w:r>
              <w:rPr>
                <w:rFonts w:hint="eastAsia" w:ascii="Times New Roman" w:hAnsi="Times New Roman" w:eastAsia="宋体" w:cs="宋体"/>
                <w:color w:val="auto"/>
                <w:sz w:val="21"/>
                <w:szCs w:val="24"/>
                <w:highlight w:val="none"/>
                <w:lang w:eastAsia="zh-CN"/>
              </w:rPr>
              <w:t>要求。</w:t>
            </w:r>
          </w:p>
          <w:p w14:paraId="46D6E25A">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Times New Roman" w:hAnsi="Times New Roman" w:eastAsia="宋体" w:cs="宋体"/>
                <w:color w:val="auto"/>
                <w:sz w:val="21"/>
                <w:highlight w:val="none"/>
                <w:lang w:val="en-US" w:eastAsia="zh-CN"/>
              </w:rPr>
            </w:pPr>
            <w:r>
              <w:rPr>
                <w:rFonts w:hint="eastAsia" w:ascii="Times New Roman" w:hAnsi="Times New Roman" w:eastAsia="宋体" w:cs="宋体"/>
                <w:color w:val="auto"/>
                <w:kern w:val="0"/>
                <w:sz w:val="21"/>
                <w:szCs w:val="24"/>
                <w:highlight w:val="none"/>
                <w:lang w:val="en-US" w:eastAsia="zh-CN" w:bidi="en-US"/>
              </w:rPr>
              <w:t>（4）</w:t>
            </w:r>
            <w:r>
              <w:rPr>
                <w:rFonts w:hint="eastAsia" w:ascii="Times New Roman" w:hAnsi="Times New Roman" w:eastAsia="宋体" w:cs="宋体"/>
                <w:color w:val="auto"/>
                <w:sz w:val="21"/>
                <w:highlight w:val="none"/>
                <w:lang w:val="en-US" w:eastAsia="zh-CN"/>
              </w:rPr>
              <w:t>固体废物</w:t>
            </w:r>
          </w:p>
          <w:p w14:paraId="4E3CAC36">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sz w:val="21"/>
                <w:highlight w:val="none"/>
                <w:lang w:eastAsia="zh-CN"/>
              </w:rPr>
            </w:pPr>
            <w:r>
              <w:rPr>
                <w:rFonts w:hint="eastAsia" w:ascii="Times New Roman" w:hAnsi="Times New Roman" w:eastAsia="宋体" w:cs="宋体"/>
                <w:bCs/>
                <w:color w:val="auto"/>
                <w:sz w:val="21"/>
                <w:highlight w:val="none"/>
                <w:lang w:val="en-US" w:eastAsia="zh-CN"/>
              </w:rPr>
              <w:t>现有工程</w:t>
            </w:r>
            <w:r>
              <w:rPr>
                <w:rFonts w:hint="eastAsia" w:ascii="Times New Roman" w:hAnsi="Times New Roman" w:eastAsia="宋体" w:cs="宋体"/>
                <w:color w:val="auto"/>
                <w:sz w:val="21"/>
                <w:szCs w:val="21"/>
                <w:highlight w:val="none"/>
              </w:rPr>
              <w:t>锅炉</w:t>
            </w:r>
            <w:r>
              <w:rPr>
                <w:rFonts w:hint="eastAsia" w:ascii="Times New Roman" w:hAnsi="Times New Roman" w:cs="宋体"/>
                <w:color w:val="auto"/>
                <w:sz w:val="21"/>
                <w:szCs w:val="21"/>
                <w:highlight w:val="none"/>
                <w:lang w:val="en-US" w:eastAsia="zh-CN"/>
              </w:rPr>
              <w:t>炉</w:t>
            </w:r>
            <w:r>
              <w:rPr>
                <w:rFonts w:hint="eastAsia" w:ascii="Times New Roman" w:hAnsi="Times New Roman" w:eastAsia="宋体" w:cs="宋体"/>
                <w:color w:val="auto"/>
                <w:sz w:val="21"/>
                <w:szCs w:val="21"/>
                <w:highlight w:val="none"/>
              </w:rPr>
              <w:t>渣</w:t>
            </w:r>
            <w:r>
              <w:rPr>
                <w:rFonts w:hint="eastAsia" w:ascii="Times New Roman" w:hAnsi="Times New Roman" w:eastAsia="宋体" w:cs="宋体"/>
                <w:color w:val="auto"/>
                <w:sz w:val="21"/>
                <w:szCs w:val="21"/>
                <w:highlight w:val="none"/>
                <w:lang w:val="en-US" w:eastAsia="zh-CN"/>
              </w:rPr>
              <w:t>产生量</w:t>
            </w:r>
            <w:r>
              <w:rPr>
                <w:rFonts w:hint="eastAsia" w:ascii="Times New Roman" w:hAnsi="Times New Roman" w:cs="宋体"/>
                <w:color w:val="auto"/>
                <w:sz w:val="21"/>
                <w:szCs w:val="21"/>
                <w:highlight w:val="none"/>
                <w:lang w:val="en-US" w:eastAsia="zh-CN"/>
              </w:rPr>
              <w:t>为</w:t>
            </w:r>
            <w:r>
              <w:rPr>
                <w:rFonts w:hint="eastAsia" w:ascii="Times New Roman" w:hAnsi="Times New Roman" w:cs="宋体"/>
                <w:color w:val="auto"/>
                <w:sz w:val="21"/>
                <w:highlight w:val="none"/>
                <w:lang w:val="en-US" w:eastAsia="zh-CN"/>
              </w:rPr>
              <w:t>81.74</w:t>
            </w:r>
            <w:r>
              <w:rPr>
                <w:rFonts w:hint="eastAsia" w:ascii="Times New Roman" w:hAnsi="Times New Roman" w:eastAsia="宋体" w:cs="宋体"/>
                <w:color w:val="auto"/>
                <w:sz w:val="21"/>
                <w:highlight w:val="none"/>
                <w:lang w:val="en-US" w:eastAsia="zh-CN"/>
              </w:rPr>
              <w:t>t/a</w:t>
            </w:r>
            <w:r>
              <w:rPr>
                <w:rFonts w:hint="eastAsia" w:ascii="Times New Roman" w:hAnsi="Times New Roman" w:cs="宋体"/>
                <w:color w:val="auto"/>
                <w:sz w:val="21"/>
                <w:highlight w:val="none"/>
                <w:lang w:val="en-US" w:eastAsia="zh-CN"/>
              </w:rPr>
              <w:t>、除尘器除尘灰8.51</w:t>
            </w:r>
            <w:r>
              <w:rPr>
                <w:rFonts w:hint="eastAsia" w:ascii="Times New Roman" w:hAnsi="Times New Roman" w:eastAsia="宋体" w:cs="宋体"/>
                <w:color w:val="auto"/>
                <w:sz w:val="21"/>
                <w:highlight w:val="none"/>
                <w:lang w:val="en-US" w:eastAsia="zh-CN"/>
              </w:rPr>
              <w:t>t/a，</w:t>
            </w:r>
            <w:r>
              <w:rPr>
                <w:rFonts w:hint="eastAsia" w:ascii="Times New Roman" w:hAnsi="Times New Roman" w:eastAsia="宋体" w:cs="宋体"/>
                <w:color w:val="auto"/>
                <w:sz w:val="21"/>
                <w:szCs w:val="21"/>
                <w:highlight w:val="none"/>
                <w:lang w:val="en-US" w:eastAsia="zh-CN"/>
              </w:rPr>
              <w:t>集中收集暂存于灰渣间，定期外售综合利用</w:t>
            </w:r>
            <w:r>
              <w:rPr>
                <w:rFonts w:hint="eastAsia" w:ascii="Times New Roman" w:hAnsi="Times New Roman" w:eastAsia="宋体" w:cs="宋体"/>
                <w:color w:val="auto"/>
                <w:sz w:val="21"/>
                <w:highlight w:val="none"/>
              </w:rPr>
              <w:t>；</w:t>
            </w:r>
            <w:r>
              <w:rPr>
                <w:rFonts w:hint="eastAsia" w:ascii="Times New Roman" w:hAnsi="Times New Roman" w:eastAsia="宋体" w:cs="宋体"/>
                <w:color w:val="auto"/>
                <w:sz w:val="21"/>
                <w:szCs w:val="21"/>
                <w:highlight w:val="none"/>
              </w:rPr>
              <w:t>废</w:t>
            </w:r>
            <w:r>
              <w:rPr>
                <w:rFonts w:hint="eastAsia" w:ascii="Times New Roman" w:hAnsi="Times New Roman" w:cs="宋体"/>
                <w:color w:val="auto"/>
                <w:sz w:val="21"/>
                <w:szCs w:val="21"/>
                <w:highlight w:val="none"/>
                <w:lang w:val="en-US" w:eastAsia="zh-CN"/>
              </w:rPr>
              <w:t>反渗透膜</w:t>
            </w:r>
            <w:r>
              <w:rPr>
                <w:rFonts w:hint="eastAsia" w:ascii="Times New Roman" w:hAnsi="Times New Roman" w:eastAsia="宋体" w:cs="宋体"/>
                <w:color w:val="auto"/>
                <w:sz w:val="21"/>
                <w:szCs w:val="21"/>
                <w:highlight w:val="none"/>
                <w:lang w:val="en-US" w:eastAsia="zh-CN"/>
              </w:rPr>
              <w:t>产生量</w:t>
            </w:r>
            <w:r>
              <w:rPr>
                <w:rFonts w:hint="eastAsia" w:ascii="Times New Roman" w:hAnsi="Times New Roman" w:eastAsia="宋体" w:cs="宋体"/>
                <w:color w:val="auto"/>
                <w:sz w:val="21"/>
                <w:highlight w:val="none"/>
                <w:lang w:val="en-US" w:eastAsia="zh-CN"/>
              </w:rPr>
              <w:t>0.5t/a，</w:t>
            </w:r>
            <w:r>
              <w:rPr>
                <w:rFonts w:hint="eastAsia" w:ascii="Times New Roman" w:hAnsi="Times New Roman" w:eastAsia="宋体" w:cs="宋体"/>
                <w:color w:val="auto"/>
                <w:sz w:val="21"/>
                <w:szCs w:val="21"/>
                <w:highlight w:val="none"/>
              </w:rPr>
              <w:t>由</w:t>
            </w:r>
            <w:r>
              <w:rPr>
                <w:rFonts w:hint="eastAsia" w:ascii="Times New Roman" w:hAnsi="Times New Roman" w:eastAsia="宋体" w:cs="宋体"/>
                <w:color w:val="auto"/>
                <w:sz w:val="21"/>
                <w:szCs w:val="21"/>
                <w:highlight w:val="none"/>
                <w:lang w:val="en-US" w:eastAsia="zh-CN"/>
              </w:rPr>
              <w:t>厂家回收</w:t>
            </w:r>
            <w:r>
              <w:rPr>
                <w:rFonts w:hint="eastAsia" w:ascii="Times New Roman" w:hAnsi="Times New Roman" w:eastAsia="宋体" w:cs="宋体"/>
                <w:color w:val="auto"/>
                <w:sz w:val="21"/>
                <w:szCs w:val="21"/>
                <w:highlight w:val="none"/>
              </w:rPr>
              <w:t>处理；废布袋</w:t>
            </w:r>
            <w:r>
              <w:rPr>
                <w:rFonts w:hint="eastAsia" w:ascii="Times New Roman" w:hAnsi="Times New Roman" w:eastAsia="宋体" w:cs="宋体"/>
                <w:color w:val="auto"/>
                <w:sz w:val="21"/>
                <w:szCs w:val="21"/>
                <w:highlight w:val="none"/>
                <w:lang w:val="en-US" w:eastAsia="zh-CN"/>
              </w:rPr>
              <w:t>产生量</w:t>
            </w:r>
            <w:r>
              <w:rPr>
                <w:rFonts w:hint="eastAsia" w:ascii="Times New Roman" w:hAnsi="Times New Roman" w:eastAsia="宋体" w:cs="宋体"/>
                <w:color w:val="auto"/>
                <w:sz w:val="21"/>
                <w:highlight w:val="none"/>
                <w:lang w:val="en-US" w:eastAsia="zh-CN"/>
              </w:rPr>
              <w:t>0.</w:t>
            </w:r>
            <w:r>
              <w:rPr>
                <w:rFonts w:hint="eastAsia" w:ascii="Times New Roman" w:hAnsi="Times New Roman" w:cs="宋体"/>
                <w:color w:val="auto"/>
                <w:sz w:val="21"/>
                <w:highlight w:val="none"/>
                <w:lang w:val="en-US" w:eastAsia="zh-CN"/>
              </w:rPr>
              <w:t>2</w:t>
            </w:r>
            <w:r>
              <w:rPr>
                <w:rFonts w:hint="eastAsia" w:ascii="Times New Roman" w:hAnsi="Times New Roman" w:eastAsia="宋体" w:cs="宋体"/>
                <w:color w:val="auto"/>
                <w:sz w:val="21"/>
                <w:highlight w:val="none"/>
                <w:lang w:val="en-US" w:eastAsia="zh-CN"/>
              </w:rPr>
              <w:t>t/a，</w:t>
            </w:r>
            <w:r>
              <w:rPr>
                <w:rFonts w:hint="eastAsia" w:ascii="Times New Roman" w:hAnsi="Times New Roman" w:eastAsia="宋体" w:cs="宋体"/>
                <w:color w:val="auto"/>
                <w:sz w:val="21"/>
                <w:szCs w:val="21"/>
                <w:highlight w:val="none"/>
              </w:rPr>
              <w:t>由</w:t>
            </w:r>
            <w:r>
              <w:rPr>
                <w:rFonts w:hint="eastAsia" w:ascii="Times New Roman" w:hAnsi="Times New Roman" w:eastAsia="宋体" w:cs="宋体"/>
                <w:color w:val="auto"/>
                <w:sz w:val="21"/>
                <w:szCs w:val="21"/>
                <w:highlight w:val="none"/>
                <w:lang w:val="en-US" w:eastAsia="zh-CN"/>
              </w:rPr>
              <w:t>厂家回收</w:t>
            </w:r>
            <w:r>
              <w:rPr>
                <w:rFonts w:hint="eastAsia" w:ascii="Times New Roman" w:hAnsi="Times New Roman" w:eastAsia="宋体" w:cs="宋体"/>
                <w:color w:val="auto"/>
                <w:sz w:val="21"/>
                <w:szCs w:val="21"/>
                <w:highlight w:val="none"/>
              </w:rPr>
              <w:t>处理；</w:t>
            </w:r>
            <w:r>
              <w:rPr>
                <w:rFonts w:hint="eastAsia" w:ascii="Times New Roman" w:hAnsi="Times New Roman" w:eastAsia="宋体" w:cs="宋体"/>
                <w:color w:val="auto"/>
                <w:sz w:val="21"/>
                <w:szCs w:val="21"/>
                <w:highlight w:val="none"/>
                <w:lang w:val="en-US" w:eastAsia="zh-CN"/>
              </w:rPr>
              <w:t>生活垃圾</w:t>
            </w:r>
            <w:r>
              <w:rPr>
                <w:rFonts w:hint="eastAsia" w:ascii="Times New Roman" w:hAnsi="Times New Roman" w:eastAsia="宋体" w:cs="宋体"/>
                <w:color w:val="auto"/>
                <w:sz w:val="21"/>
                <w:highlight w:val="none"/>
              </w:rPr>
              <w:t>产生量</w:t>
            </w:r>
            <w:r>
              <w:rPr>
                <w:rFonts w:hint="eastAsia" w:ascii="Times New Roman" w:hAnsi="Times New Roman" w:eastAsia="宋体" w:cs="宋体"/>
                <w:color w:val="auto"/>
                <w:sz w:val="21"/>
                <w:highlight w:val="none"/>
                <w:lang w:val="en-US" w:eastAsia="zh-CN"/>
              </w:rPr>
              <w:t>0.</w:t>
            </w:r>
            <w:r>
              <w:rPr>
                <w:rFonts w:hint="eastAsia" w:ascii="Times New Roman" w:hAnsi="Times New Roman" w:cs="宋体"/>
                <w:color w:val="auto"/>
                <w:sz w:val="21"/>
                <w:highlight w:val="none"/>
                <w:lang w:val="en-US" w:eastAsia="zh-CN"/>
              </w:rPr>
              <w:t>288</w:t>
            </w:r>
            <w:r>
              <w:rPr>
                <w:rFonts w:hint="eastAsia" w:ascii="Times New Roman" w:hAnsi="Times New Roman" w:eastAsia="宋体" w:cs="宋体"/>
                <w:color w:val="auto"/>
                <w:sz w:val="21"/>
                <w:highlight w:val="none"/>
              </w:rPr>
              <w:t>t/a，</w:t>
            </w:r>
            <w:r>
              <w:rPr>
                <w:rFonts w:hint="eastAsia" w:ascii="Times New Roman" w:hAnsi="Times New Roman" w:eastAsia="宋体" w:cs="宋体"/>
                <w:color w:val="auto"/>
                <w:sz w:val="21"/>
                <w:szCs w:val="21"/>
                <w:highlight w:val="none"/>
              </w:rPr>
              <w:t>由市政部门统一处理</w:t>
            </w:r>
            <w:r>
              <w:rPr>
                <w:rFonts w:hint="eastAsia" w:ascii="Times New Roman" w:hAnsi="Times New Roman" w:eastAsia="宋体" w:cs="宋体"/>
                <w:color w:val="auto"/>
                <w:sz w:val="21"/>
                <w:highlight w:val="none"/>
                <w:lang w:eastAsia="zh-CN"/>
              </w:rPr>
              <w:t>。</w:t>
            </w:r>
          </w:p>
          <w:p w14:paraId="4329DCDE">
            <w:pPr>
              <w:pStyle w:val="23"/>
              <w:keepNext w:val="0"/>
              <w:keepLines w:val="0"/>
              <w:pageBreakBefore w:val="0"/>
              <w:kinsoku/>
              <w:wordWrap/>
              <w:overflowPunct/>
              <w:topLinePunct w:val="0"/>
              <w:bidi w:val="0"/>
              <w:spacing w:after="0" w:line="360" w:lineRule="auto"/>
              <w:ind w:left="0" w:leftChars="0" w:firstLine="422" w:firstLineChars="200"/>
              <w:textAlignment w:val="auto"/>
              <w:rPr>
                <w:rFonts w:hint="eastAsia" w:ascii="Times New Roman" w:hAnsi="Times New Roman" w:eastAsia="宋体" w:cs="宋体"/>
                <w:b/>
                <w:bCs/>
                <w:color w:val="auto"/>
                <w:sz w:val="21"/>
                <w:highlight w:val="none"/>
                <w:lang w:val="en-US" w:eastAsia="zh-CN"/>
              </w:rPr>
            </w:pPr>
            <w:r>
              <w:rPr>
                <w:rFonts w:hint="eastAsia" w:ascii="Times New Roman" w:hAnsi="Times New Roman" w:eastAsia="宋体" w:cs="宋体"/>
                <w:b/>
                <w:bCs/>
                <w:color w:val="auto"/>
                <w:sz w:val="21"/>
                <w:highlight w:val="none"/>
                <w:lang w:val="en-US" w:eastAsia="zh-CN"/>
              </w:rPr>
              <w:t>3、现有工程污染物实际排放总量</w:t>
            </w:r>
          </w:p>
          <w:p w14:paraId="7C2A8506">
            <w:pPr>
              <w:keepNext w:val="0"/>
              <w:keepLines w:val="0"/>
              <w:pageBreakBefore w:val="0"/>
              <w:kinsoku/>
              <w:wordWrap/>
              <w:overflowPunct/>
              <w:topLinePunct w:val="0"/>
              <w:autoSpaceDE w:val="0"/>
              <w:autoSpaceDN w:val="0"/>
              <w:bidi w:val="0"/>
              <w:adjustRightInd w:val="0"/>
              <w:snapToGrid w:val="0"/>
              <w:spacing w:line="240" w:lineRule="auto"/>
              <w:ind w:left="0" w:leftChars="0"/>
              <w:jc w:val="center"/>
              <w:textAlignment w:val="auto"/>
              <w:rPr>
                <w:rFonts w:hint="eastAsia" w:ascii="Times New Roman" w:hAnsi="Times New Roman" w:eastAsia="宋体" w:cs="宋体"/>
                <w:b/>
                <w:bCs/>
                <w:color w:val="auto"/>
                <w:sz w:val="21"/>
                <w:highlight w:val="none"/>
              </w:rPr>
            </w:pPr>
            <w:r>
              <w:rPr>
                <w:rFonts w:hint="eastAsia" w:ascii="Times New Roman" w:hAnsi="Times New Roman" w:eastAsia="宋体" w:cs="宋体"/>
                <w:b/>
                <w:bCs/>
                <w:color w:val="auto"/>
                <w:sz w:val="21"/>
                <w:highlight w:val="none"/>
              </w:rPr>
              <w:t>表2-</w:t>
            </w:r>
            <w:r>
              <w:rPr>
                <w:rFonts w:hint="eastAsia" w:ascii="Times New Roman" w:hAnsi="Times New Roman" w:eastAsia="宋体" w:cs="宋体"/>
                <w:b/>
                <w:bCs/>
                <w:color w:val="auto"/>
                <w:sz w:val="21"/>
                <w:highlight w:val="none"/>
                <w:lang w:val="en-US" w:eastAsia="zh-CN"/>
              </w:rPr>
              <w:t>5</w:t>
            </w:r>
            <w:r>
              <w:rPr>
                <w:rFonts w:hint="eastAsia" w:ascii="Times New Roman" w:hAnsi="Times New Roman" w:eastAsia="宋体" w:cs="宋体"/>
                <w:b/>
                <w:bCs/>
                <w:color w:val="auto"/>
                <w:sz w:val="21"/>
                <w:highlight w:val="none"/>
              </w:rPr>
              <w:t xml:space="preserve"> 现有工程污染物排放总量汇总表</w:t>
            </w:r>
          </w:p>
          <w:tbl>
            <w:tblPr>
              <w:tblStyle w:val="4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76"/>
              <w:gridCol w:w="3261"/>
              <w:gridCol w:w="2989"/>
            </w:tblGrid>
            <w:tr w14:paraId="6F036C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74" w:hRule="atLeast"/>
              </w:trPr>
              <w:tc>
                <w:tcPr>
                  <w:tcW w:w="1057" w:type="pct"/>
                  <w:noWrap w:val="0"/>
                  <w:vAlign w:val="center"/>
                </w:tcPr>
                <w:p w14:paraId="3123A691">
                  <w:pPr>
                    <w:keepNext w:val="0"/>
                    <w:keepLines w:val="0"/>
                    <w:pageBreakBefore w:val="0"/>
                    <w:widowControl/>
                    <w:kinsoku/>
                    <w:wordWrap/>
                    <w:overflowPunct/>
                    <w:topLinePunct w:val="0"/>
                    <w:bidi w:val="0"/>
                    <w:spacing w:line="240" w:lineRule="auto"/>
                    <w:ind w:left="0" w:left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环境要素</w:t>
                  </w:r>
                </w:p>
              </w:tc>
              <w:tc>
                <w:tcPr>
                  <w:tcW w:w="2057" w:type="pct"/>
                  <w:noWrap w:val="0"/>
                  <w:vAlign w:val="center"/>
                </w:tcPr>
                <w:p w14:paraId="5E25452A">
                  <w:pPr>
                    <w:keepNext w:val="0"/>
                    <w:keepLines w:val="0"/>
                    <w:pageBreakBefore w:val="0"/>
                    <w:widowControl/>
                    <w:kinsoku/>
                    <w:wordWrap/>
                    <w:overflowPunct/>
                    <w:topLinePunct w:val="0"/>
                    <w:bidi w:val="0"/>
                    <w:spacing w:line="240" w:lineRule="auto"/>
                    <w:ind w:left="0" w:left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污染物名称</w:t>
                  </w:r>
                </w:p>
              </w:tc>
              <w:tc>
                <w:tcPr>
                  <w:tcW w:w="1885" w:type="pct"/>
                  <w:noWrap w:val="0"/>
                  <w:vAlign w:val="center"/>
                </w:tcPr>
                <w:p w14:paraId="0FF59B6E">
                  <w:pPr>
                    <w:keepNext w:val="0"/>
                    <w:keepLines w:val="0"/>
                    <w:pageBreakBefore w:val="0"/>
                    <w:widowControl/>
                    <w:kinsoku/>
                    <w:wordWrap/>
                    <w:overflowPunct/>
                    <w:topLinePunct w:val="0"/>
                    <w:bidi w:val="0"/>
                    <w:spacing w:line="240" w:lineRule="auto"/>
                    <w:ind w:left="0" w:left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排放量</w:t>
                  </w:r>
                  <w:r>
                    <w:rPr>
                      <w:rFonts w:hint="eastAsia" w:ascii="Times New Roman" w:hAnsi="Times New Roman" w:eastAsia="宋体" w:cs="宋体"/>
                      <w:bCs/>
                      <w:color w:val="auto"/>
                      <w:sz w:val="21"/>
                      <w:szCs w:val="21"/>
                      <w:highlight w:val="none"/>
                      <w:lang w:val="en-US" w:eastAsia="zh-CN"/>
                    </w:rPr>
                    <w:t>t/a</w:t>
                  </w:r>
                </w:p>
              </w:tc>
            </w:tr>
            <w:tr w14:paraId="1D0773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57" w:type="pct"/>
                  <w:vMerge w:val="restart"/>
                  <w:noWrap w:val="0"/>
                  <w:vAlign w:val="center"/>
                </w:tcPr>
                <w:p w14:paraId="1B191F0A">
                  <w:pPr>
                    <w:keepNext w:val="0"/>
                    <w:keepLines w:val="0"/>
                    <w:pageBreakBefore w:val="0"/>
                    <w:widowControl/>
                    <w:kinsoku/>
                    <w:wordWrap/>
                    <w:overflowPunct/>
                    <w:topLinePunct w:val="0"/>
                    <w:bidi w:val="0"/>
                    <w:spacing w:line="240" w:lineRule="auto"/>
                    <w:ind w:left="0" w:left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废气</w:t>
                  </w:r>
                </w:p>
              </w:tc>
              <w:tc>
                <w:tcPr>
                  <w:tcW w:w="2057" w:type="pct"/>
                  <w:noWrap w:val="0"/>
                  <w:vAlign w:val="center"/>
                </w:tcPr>
                <w:p w14:paraId="08FEC2F1">
                  <w:pPr>
                    <w:keepNext w:val="0"/>
                    <w:keepLines w:val="0"/>
                    <w:pageBreakBefore w:val="0"/>
                    <w:kinsoku/>
                    <w:wordWrap/>
                    <w:overflowPunct/>
                    <w:topLinePunct w:val="0"/>
                    <w:bidi w:val="0"/>
                    <w:adjustRightInd w:val="0"/>
                    <w:snapToGrid w:val="0"/>
                    <w:spacing w:line="240" w:lineRule="auto"/>
                    <w:ind w:left="0" w:leftChars="0"/>
                    <w:jc w:val="center"/>
                    <w:textAlignment w:val="auto"/>
                    <w:rPr>
                      <w:rFonts w:hint="eastAsia" w:ascii="Times New Roman" w:hAnsi="Times New Roman" w:eastAsia="宋体" w:cs="宋体"/>
                      <w:bCs/>
                      <w:color w:val="auto"/>
                      <w:sz w:val="21"/>
                      <w:szCs w:val="21"/>
                      <w:highlight w:val="none"/>
                      <w:lang w:val="en-US" w:eastAsia="zh-CN"/>
                    </w:rPr>
                  </w:pPr>
                  <w:r>
                    <w:rPr>
                      <w:rFonts w:hint="eastAsia" w:ascii="Times New Roman" w:hAnsi="Times New Roman" w:eastAsia="宋体" w:cs="宋体"/>
                      <w:bCs/>
                      <w:color w:val="auto"/>
                      <w:sz w:val="21"/>
                      <w:szCs w:val="21"/>
                      <w:highlight w:val="none"/>
                      <w:lang w:val="en-US" w:eastAsia="zh-CN"/>
                    </w:rPr>
                    <w:t>颗粒物</w:t>
                  </w:r>
                </w:p>
              </w:tc>
              <w:tc>
                <w:tcPr>
                  <w:tcW w:w="1885" w:type="pct"/>
                  <w:shd w:val="clear" w:color="auto" w:fill="auto"/>
                  <w:noWrap w:val="0"/>
                  <w:vAlign w:val="center"/>
                </w:tcPr>
                <w:p w14:paraId="51C93A7E">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ascii="Times New Roman" w:hAnsi="Times New Roman" w:eastAsia="宋体" w:cs="宋体"/>
                      <w:color w:val="auto"/>
                      <w:sz w:val="21"/>
                      <w:szCs w:val="21"/>
                      <w:highlight w:val="none"/>
                      <w:lang w:val="en-US" w:eastAsia="zh-CN"/>
                    </w:rPr>
                    <w:t>0.</w:t>
                  </w:r>
                  <w:r>
                    <w:rPr>
                      <w:rFonts w:hint="eastAsia" w:cs="宋体"/>
                      <w:color w:val="auto"/>
                      <w:sz w:val="21"/>
                      <w:szCs w:val="21"/>
                      <w:highlight w:val="none"/>
                      <w:lang w:val="en-US" w:eastAsia="zh-CN"/>
                    </w:rPr>
                    <w:t>03</w:t>
                  </w:r>
                </w:p>
              </w:tc>
            </w:tr>
            <w:tr w14:paraId="648E43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57" w:type="pct"/>
                  <w:vMerge w:val="continue"/>
                  <w:noWrap w:val="0"/>
                  <w:vAlign w:val="center"/>
                </w:tcPr>
                <w:p w14:paraId="7577178A">
                  <w:pPr>
                    <w:keepNext w:val="0"/>
                    <w:keepLines w:val="0"/>
                    <w:pageBreakBefore w:val="0"/>
                    <w:widowControl/>
                    <w:kinsoku/>
                    <w:wordWrap/>
                    <w:overflowPunct/>
                    <w:topLinePunct w:val="0"/>
                    <w:bidi w:val="0"/>
                    <w:spacing w:line="240" w:lineRule="auto"/>
                    <w:ind w:left="0" w:leftChars="0"/>
                    <w:jc w:val="center"/>
                    <w:textAlignment w:val="auto"/>
                    <w:rPr>
                      <w:rFonts w:hint="eastAsia" w:ascii="Times New Roman" w:hAnsi="Times New Roman" w:eastAsia="宋体" w:cs="宋体"/>
                      <w:color w:val="auto"/>
                      <w:sz w:val="21"/>
                      <w:szCs w:val="21"/>
                      <w:highlight w:val="none"/>
                    </w:rPr>
                  </w:pPr>
                </w:p>
              </w:tc>
              <w:tc>
                <w:tcPr>
                  <w:tcW w:w="2057" w:type="pct"/>
                  <w:noWrap w:val="0"/>
                  <w:vAlign w:val="center"/>
                </w:tcPr>
                <w:p w14:paraId="67C2576D">
                  <w:pPr>
                    <w:keepNext w:val="0"/>
                    <w:keepLines w:val="0"/>
                    <w:pageBreakBefore w:val="0"/>
                    <w:kinsoku/>
                    <w:wordWrap/>
                    <w:overflowPunct/>
                    <w:topLinePunct w:val="0"/>
                    <w:bidi w:val="0"/>
                    <w:adjustRightInd w:val="0"/>
                    <w:snapToGrid w:val="0"/>
                    <w:spacing w:line="240" w:lineRule="auto"/>
                    <w:ind w:left="0" w:leftChars="0"/>
                    <w:jc w:val="center"/>
                    <w:textAlignment w:val="auto"/>
                    <w:rPr>
                      <w:rFonts w:hint="eastAsia" w:ascii="Times New Roman" w:hAnsi="Times New Roman" w:eastAsia="宋体" w:cs="宋体"/>
                      <w:bCs/>
                      <w:color w:val="auto"/>
                      <w:sz w:val="21"/>
                      <w:szCs w:val="21"/>
                      <w:highlight w:val="none"/>
                      <w:lang w:val="en-US" w:eastAsia="zh-CN"/>
                    </w:rPr>
                  </w:pPr>
                  <w:r>
                    <w:rPr>
                      <w:rFonts w:hint="eastAsia" w:ascii="Times New Roman" w:hAnsi="Times New Roman" w:eastAsia="宋体" w:cs="宋体"/>
                      <w:bCs/>
                      <w:color w:val="auto"/>
                      <w:sz w:val="21"/>
                      <w:szCs w:val="21"/>
                      <w:highlight w:val="none"/>
                      <w:lang w:val="en-US" w:eastAsia="zh-CN"/>
                    </w:rPr>
                    <w:t>二氧化硫</w:t>
                  </w:r>
                </w:p>
              </w:tc>
              <w:tc>
                <w:tcPr>
                  <w:tcW w:w="1885" w:type="pct"/>
                  <w:shd w:val="clear" w:color="auto" w:fill="auto"/>
                  <w:noWrap w:val="0"/>
                  <w:vAlign w:val="center"/>
                </w:tcPr>
                <w:p w14:paraId="7133BAB8">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cs="宋体"/>
                      <w:b w:val="0"/>
                      <w:bCs/>
                      <w:color w:val="auto"/>
                      <w:kern w:val="2"/>
                      <w:sz w:val="21"/>
                      <w:szCs w:val="21"/>
                      <w:highlight w:val="none"/>
                      <w:lang w:val="en-US" w:eastAsia="zh-CN" w:bidi="ar-SA"/>
                    </w:rPr>
                    <w:t>1.36</w:t>
                  </w:r>
                </w:p>
              </w:tc>
            </w:tr>
            <w:tr w14:paraId="1375A4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trPr>
              <w:tc>
                <w:tcPr>
                  <w:tcW w:w="1057" w:type="pct"/>
                  <w:vMerge w:val="continue"/>
                  <w:noWrap w:val="0"/>
                  <w:vAlign w:val="center"/>
                </w:tcPr>
                <w:p w14:paraId="524FCFD5">
                  <w:pPr>
                    <w:keepNext w:val="0"/>
                    <w:keepLines w:val="0"/>
                    <w:pageBreakBefore w:val="0"/>
                    <w:widowControl/>
                    <w:kinsoku/>
                    <w:wordWrap/>
                    <w:overflowPunct/>
                    <w:topLinePunct w:val="0"/>
                    <w:bidi w:val="0"/>
                    <w:spacing w:line="240" w:lineRule="auto"/>
                    <w:ind w:left="0" w:leftChars="0"/>
                    <w:jc w:val="center"/>
                    <w:textAlignment w:val="auto"/>
                    <w:rPr>
                      <w:rFonts w:hint="eastAsia" w:ascii="Times New Roman" w:hAnsi="Times New Roman" w:eastAsia="宋体" w:cs="宋体"/>
                      <w:color w:val="auto"/>
                      <w:sz w:val="21"/>
                      <w:szCs w:val="21"/>
                      <w:highlight w:val="none"/>
                    </w:rPr>
                  </w:pPr>
                </w:p>
              </w:tc>
              <w:tc>
                <w:tcPr>
                  <w:tcW w:w="2057" w:type="pct"/>
                  <w:noWrap w:val="0"/>
                  <w:vAlign w:val="center"/>
                </w:tcPr>
                <w:p w14:paraId="130745A1">
                  <w:pPr>
                    <w:keepNext w:val="0"/>
                    <w:keepLines w:val="0"/>
                    <w:pageBreakBefore w:val="0"/>
                    <w:kinsoku/>
                    <w:wordWrap/>
                    <w:overflowPunct/>
                    <w:topLinePunct w:val="0"/>
                    <w:bidi w:val="0"/>
                    <w:adjustRightInd w:val="0"/>
                    <w:snapToGrid w:val="0"/>
                    <w:spacing w:line="240" w:lineRule="auto"/>
                    <w:ind w:left="0" w:leftChars="0"/>
                    <w:jc w:val="center"/>
                    <w:textAlignment w:val="auto"/>
                    <w:rPr>
                      <w:rFonts w:hint="eastAsia" w:ascii="Times New Roman" w:hAnsi="Times New Roman" w:eastAsia="宋体" w:cs="宋体"/>
                      <w:bCs/>
                      <w:color w:val="auto"/>
                      <w:sz w:val="21"/>
                      <w:szCs w:val="21"/>
                      <w:highlight w:val="none"/>
                      <w:lang w:val="en-US" w:eastAsia="zh-CN"/>
                    </w:rPr>
                  </w:pPr>
                  <w:r>
                    <w:rPr>
                      <w:rFonts w:hint="eastAsia" w:ascii="Times New Roman" w:hAnsi="Times New Roman" w:eastAsia="宋体" w:cs="宋体"/>
                      <w:bCs/>
                      <w:color w:val="auto"/>
                      <w:sz w:val="21"/>
                      <w:szCs w:val="21"/>
                      <w:highlight w:val="none"/>
                      <w:lang w:val="en-US" w:eastAsia="zh-CN"/>
                    </w:rPr>
                    <w:t>氮氧化物</w:t>
                  </w:r>
                </w:p>
              </w:tc>
              <w:tc>
                <w:tcPr>
                  <w:tcW w:w="1885" w:type="pct"/>
                  <w:shd w:val="clear" w:color="auto" w:fill="auto"/>
                  <w:noWrap w:val="0"/>
                  <w:vAlign w:val="center"/>
                </w:tcPr>
                <w:p w14:paraId="2FD6B88C">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cs="宋体"/>
                      <w:color w:val="auto"/>
                      <w:sz w:val="21"/>
                      <w:szCs w:val="21"/>
                      <w:highlight w:val="none"/>
                      <w:lang w:val="en-US" w:eastAsia="zh-CN"/>
                    </w:rPr>
                    <w:t>1.08</w:t>
                  </w:r>
                </w:p>
              </w:tc>
            </w:tr>
            <w:tr w14:paraId="7E69A9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1057" w:type="pct"/>
                  <w:vMerge w:val="restart"/>
                  <w:noWrap w:val="0"/>
                  <w:vAlign w:val="center"/>
                </w:tcPr>
                <w:p w14:paraId="52F81885">
                  <w:pPr>
                    <w:keepNext w:val="0"/>
                    <w:keepLines w:val="0"/>
                    <w:pageBreakBefore w:val="0"/>
                    <w:widowControl/>
                    <w:kinsoku/>
                    <w:wordWrap/>
                    <w:overflowPunct/>
                    <w:topLinePunct w:val="0"/>
                    <w:bidi w:val="0"/>
                    <w:spacing w:line="240" w:lineRule="auto"/>
                    <w:ind w:left="0" w:leftChars="0"/>
                    <w:jc w:val="center"/>
                    <w:textAlignment w:val="auto"/>
                    <w:rPr>
                      <w:rFonts w:hint="eastAsia" w:ascii="Times New Roman" w:hAnsi="Times New Roman" w:eastAsia="宋体" w:cs="宋体"/>
                      <w:color w:val="auto"/>
                      <w:sz w:val="21"/>
                      <w:szCs w:val="21"/>
                      <w:highlight w:val="none"/>
                    </w:rPr>
                  </w:pPr>
                  <w:r>
                    <w:rPr>
                      <w:rFonts w:hint="eastAsia" w:ascii="Times New Roman" w:hAnsi="Times New Roman" w:eastAsia="宋体" w:cs="宋体"/>
                      <w:color w:val="auto"/>
                      <w:sz w:val="21"/>
                      <w:szCs w:val="21"/>
                      <w:highlight w:val="none"/>
                    </w:rPr>
                    <w:t>废水</w:t>
                  </w:r>
                </w:p>
              </w:tc>
              <w:tc>
                <w:tcPr>
                  <w:tcW w:w="2057" w:type="pct"/>
                  <w:noWrap w:val="0"/>
                  <w:vAlign w:val="center"/>
                </w:tcPr>
                <w:p w14:paraId="2AACCD4E">
                  <w:pPr>
                    <w:keepNext w:val="0"/>
                    <w:keepLines w:val="0"/>
                    <w:pageBreakBefore w:val="0"/>
                    <w:kinsoku/>
                    <w:wordWrap/>
                    <w:overflowPunct/>
                    <w:topLinePunct w:val="0"/>
                    <w:bidi w:val="0"/>
                    <w:adjustRightInd w:val="0"/>
                    <w:snapToGrid w:val="0"/>
                    <w:spacing w:line="240" w:lineRule="auto"/>
                    <w:ind w:left="0" w:leftChars="0"/>
                    <w:jc w:val="center"/>
                    <w:textAlignment w:val="auto"/>
                    <w:rPr>
                      <w:rFonts w:hint="eastAsia" w:ascii="Times New Roman" w:hAnsi="Times New Roman" w:eastAsia="宋体" w:cs="宋体"/>
                      <w:bCs/>
                      <w:color w:val="auto"/>
                      <w:sz w:val="21"/>
                      <w:szCs w:val="21"/>
                      <w:highlight w:val="none"/>
                      <w:lang w:val="en-US" w:eastAsia="zh-CN"/>
                    </w:rPr>
                  </w:pPr>
                  <w:r>
                    <w:rPr>
                      <w:rFonts w:hint="eastAsia" w:ascii="Times New Roman" w:hAnsi="Times New Roman" w:eastAsia="宋体" w:cs="宋体"/>
                      <w:bCs/>
                      <w:color w:val="auto"/>
                      <w:sz w:val="21"/>
                      <w:szCs w:val="21"/>
                      <w:highlight w:val="none"/>
                      <w:lang w:val="en-US" w:eastAsia="zh-CN"/>
                    </w:rPr>
                    <w:t>COD</w:t>
                  </w:r>
                </w:p>
              </w:tc>
              <w:tc>
                <w:tcPr>
                  <w:tcW w:w="1885" w:type="pct"/>
                  <w:shd w:val="clear" w:color="auto" w:fill="auto"/>
                  <w:noWrap w:val="0"/>
                  <w:vAlign w:val="center"/>
                </w:tcPr>
                <w:p w14:paraId="0F229A4F">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宋体"/>
                      <w:b w:val="0"/>
                      <w:bCs/>
                      <w:color w:val="auto"/>
                      <w:kern w:val="2"/>
                      <w:sz w:val="21"/>
                      <w:szCs w:val="21"/>
                      <w:highlight w:val="none"/>
                      <w:lang w:val="en-US" w:eastAsia="zh-CN" w:bidi="ar-SA"/>
                    </w:rPr>
                  </w:pPr>
                  <w:r>
                    <w:rPr>
                      <w:rFonts w:hint="eastAsia" w:cs="宋体"/>
                      <w:b w:val="0"/>
                      <w:bCs/>
                      <w:color w:val="auto"/>
                      <w:kern w:val="2"/>
                      <w:sz w:val="21"/>
                      <w:szCs w:val="21"/>
                      <w:highlight w:val="none"/>
                      <w:lang w:val="en-US" w:eastAsia="zh-CN" w:bidi="ar-SA"/>
                    </w:rPr>
                    <w:t>/</w:t>
                  </w:r>
                </w:p>
              </w:tc>
            </w:tr>
            <w:tr w14:paraId="417967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1057" w:type="pct"/>
                  <w:vMerge w:val="continue"/>
                  <w:noWrap w:val="0"/>
                  <w:vAlign w:val="center"/>
                </w:tcPr>
                <w:p w14:paraId="73235E2C">
                  <w:pPr>
                    <w:keepNext w:val="0"/>
                    <w:keepLines w:val="0"/>
                    <w:pageBreakBefore w:val="0"/>
                    <w:widowControl/>
                    <w:kinsoku/>
                    <w:wordWrap/>
                    <w:overflowPunct/>
                    <w:topLinePunct w:val="0"/>
                    <w:bidi w:val="0"/>
                    <w:spacing w:line="240" w:lineRule="auto"/>
                    <w:ind w:left="0" w:leftChars="0"/>
                    <w:jc w:val="center"/>
                    <w:textAlignment w:val="auto"/>
                    <w:rPr>
                      <w:rFonts w:hint="eastAsia" w:ascii="Times New Roman" w:hAnsi="Times New Roman" w:eastAsia="宋体" w:cs="宋体"/>
                      <w:color w:val="auto"/>
                      <w:sz w:val="21"/>
                      <w:szCs w:val="21"/>
                      <w:highlight w:val="none"/>
                    </w:rPr>
                  </w:pPr>
                </w:p>
              </w:tc>
              <w:tc>
                <w:tcPr>
                  <w:tcW w:w="2057" w:type="pct"/>
                  <w:noWrap w:val="0"/>
                  <w:vAlign w:val="center"/>
                </w:tcPr>
                <w:p w14:paraId="742950C1">
                  <w:pPr>
                    <w:keepNext w:val="0"/>
                    <w:keepLines w:val="0"/>
                    <w:pageBreakBefore w:val="0"/>
                    <w:kinsoku/>
                    <w:wordWrap/>
                    <w:overflowPunct/>
                    <w:topLinePunct w:val="0"/>
                    <w:bidi w:val="0"/>
                    <w:adjustRightInd w:val="0"/>
                    <w:snapToGrid w:val="0"/>
                    <w:spacing w:line="240" w:lineRule="auto"/>
                    <w:ind w:left="0" w:leftChars="0"/>
                    <w:jc w:val="center"/>
                    <w:textAlignment w:val="auto"/>
                    <w:rPr>
                      <w:rFonts w:hint="eastAsia" w:ascii="Times New Roman" w:hAnsi="Times New Roman" w:eastAsia="宋体" w:cs="宋体"/>
                      <w:bCs/>
                      <w:color w:val="auto"/>
                      <w:sz w:val="21"/>
                      <w:szCs w:val="21"/>
                      <w:highlight w:val="none"/>
                      <w:lang w:val="en-US" w:eastAsia="zh-CN"/>
                    </w:rPr>
                  </w:pPr>
                  <w:r>
                    <w:rPr>
                      <w:rFonts w:hint="eastAsia" w:ascii="Times New Roman" w:hAnsi="Times New Roman" w:eastAsia="宋体" w:cs="宋体"/>
                      <w:bCs/>
                      <w:color w:val="auto"/>
                      <w:sz w:val="21"/>
                      <w:szCs w:val="21"/>
                      <w:highlight w:val="none"/>
                      <w:lang w:val="en-US" w:eastAsia="zh-CN"/>
                    </w:rPr>
                    <w:t>氨氮</w:t>
                  </w:r>
                </w:p>
              </w:tc>
              <w:tc>
                <w:tcPr>
                  <w:tcW w:w="1885" w:type="pct"/>
                  <w:shd w:val="clear" w:color="auto" w:fill="auto"/>
                  <w:noWrap w:val="0"/>
                  <w:vAlign w:val="center"/>
                </w:tcPr>
                <w:p w14:paraId="2D5E234A">
                  <w:pPr>
                    <w:keepNext w:val="0"/>
                    <w:keepLines w:val="0"/>
                    <w:pageBreakBefore w:val="0"/>
                    <w:widowControl/>
                    <w:kinsoku/>
                    <w:wordWrap/>
                    <w:overflowPunct/>
                    <w:topLinePunct w:val="0"/>
                    <w:bidi w:val="0"/>
                    <w:spacing w:line="240" w:lineRule="auto"/>
                    <w:ind w:left="0" w:leftChars="0"/>
                    <w:jc w:val="center"/>
                    <w:textAlignment w:val="auto"/>
                    <w:rPr>
                      <w:rFonts w:hint="eastAsia" w:ascii="Times New Roman" w:hAnsi="Times New Roman" w:eastAsia="宋体" w:cs="宋体"/>
                      <w:b w:val="0"/>
                      <w:bCs/>
                      <w:color w:val="auto"/>
                      <w:kern w:val="2"/>
                      <w:sz w:val="21"/>
                      <w:szCs w:val="21"/>
                      <w:highlight w:val="none"/>
                      <w:lang w:val="en-US" w:eastAsia="zh-CN" w:bidi="ar-SA"/>
                    </w:rPr>
                  </w:pPr>
                  <w:r>
                    <w:rPr>
                      <w:rFonts w:hint="eastAsia" w:cs="宋体"/>
                      <w:b w:val="0"/>
                      <w:bCs/>
                      <w:color w:val="auto"/>
                      <w:kern w:val="2"/>
                      <w:sz w:val="21"/>
                      <w:szCs w:val="21"/>
                      <w:highlight w:val="none"/>
                      <w:lang w:val="en-US" w:eastAsia="zh-CN" w:bidi="ar-SA"/>
                    </w:rPr>
                    <w:t>/</w:t>
                  </w:r>
                </w:p>
              </w:tc>
            </w:tr>
          </w:tbl>
          <w:p w14:paraId="62D85312">
            <w:pPr>
              <w:keepNext w:val="0"/>
              <w:keepLines w:val="0"/>
              <w:pageBreakBefore w:val="0"/>
              <w:kinsoku/>
              <w:wordWrap/>
              <w:overflowPunct/>
              <w:topLinePunct w:val="0"/>
              <w:bidi w:val="0"/>
              <w:adjustRightInd w:val="0"/>
              <w:snapToGrid w:val="0"/>
              <w:spacing w:line="360" w:lineRule="auto"/>
              <w:ind w:left="0" w:leftChars="0" w:firstLine="422" w:firstLineChars="200"/>
              <w:textAlignment w:val="auto"/>
              <w:rPr>
                <w:rFonts w:hint="default" w:ascii="Times New Roman" w:hAnsi="Times New Roman" w:eastAsia="宋体" w:cs="宋体"/>
                <w:b/>
                <w:bCs/>
                <w:color w:val="auto"/>
                <w:sz w:val="21"/>
                <w:highlight w:val="none"/>
                <w:lang w:val="en-US" w:eastAsia="zh-CN"/>
              </w:rPr>
            </w:pPr>
            <w:r>
              <w:rPr>
                <w:rFonts w:hint="eastAsia" w:ascii="Times New Roman" w:hAnsi="Times New Roman" w:eastAsia="宋体" w:cs="宋体"/>
                <w:b/>
                <w:bCs/>
                <w:color w:val="auto"/>
                <w:sz w:val="21"/>
                <w:highlight w:val="none"/>
                <w:lang w:val="en-US" w:eastAsia="zh-CN"/>
              </w:rPr>
              <w:t>4</w:t>
            </w:r>
            <w:r>
              <w:rPr>
                <w:rFonts w:hint="eastAsia" w:ascii="Times New Roman" w:hAnsi="Times New Roman" w:eastAsia="宋体" w:cs="宋体"/>
                <w:b/>
                <w:bCs/>
                <w:color w:val="auto"/>
                <w:sz w:val="21"/>
                <w:highlight w:val="none"/>
              </w:rPr>
              <w:t>、现有工程环境问题梳理</w:t>
            </w:r>
            <w:r>
              <w:rPr>
                <w:rFonts w:hint="eastAsia" w:cs="宋体"/>
                <w:b/>
                <w:bCs/>
                <w:color w:val="auto"/>
                <w:sz w:val="21"/>
                <w:highlight w:val="none"/>
                <w:lang w:val="en-US" w:eastAsia="zh-CN"/>
              </w:rPr>
              <w:t>及整改措施</w:t>
            </w:r>
          </w:p>
          <w:p w14:paraId="5EA9E7EE">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r>
              <w:rPr>
                <w:rFonts w:hint="eastAsia" w:ascii="Times New Roman" w:hAnsi="Times New Roman" w:cs="宋体"/>
                <w:color w:val="auto"/>
                <w:kern w:val="2"/>
                <w:sz w:val="21"/>
                <w:szCs w:val="24"/>
                <w:highlight w:val="none"/>
                <w:lang w:val="en-US" w:eastAsia="zh-CN" w:bidi="ar-SA"/>
              </w:rPr>
              <w:t>根据《伊春市空气质量持续改善行动计划实施方案》，</w:t>
            </w:r>
            <w:r>
              <w:rPr>
                <w:rFonts w:hint="eastAsia" w:ascii="Times New Roman" w:hAnsi="Times New Roman" w:eastAsia="宋体" w:cs="宋体"/>
                <w:color w:val="auto"/>
                <w:sz w:val="21"/>
                <w:highlight w:val="none"/>
                <w:lang w:val="en-US" w:eastAsia="zh-CN"/>
              </w:rPr>
              <w:t>现有工程</w:t>
            </w:r>
            <w:r>
              <w:rPr>
                <w:rFonts w:hint="eastAsia" w:ascii="Times New Roman" w:hAnsi="Times New Roman" w:eastAsia="宋体" w:cs="宋体"/>
                <w:b w:val="0"/>
                <w:bCs w:val="0"/>
                <w:color w:val="auto"/>
                <w:sz w:val="21"/>
                <w:highlight w:val="none"/>
                <w:lang w:val="en-US" w:eastAsia="zh-CN"/>
              </w:rPr>
              <w:t>1台</w:t>
            </w:r>
            <w:r>
              <w:rPr>
                <w:rFonts w:hint="eastAsia" w:ascii="Times New Roman" w:hAnsi="Times New Roman" w:eastAsia="宋体" w:cs="宋体"/>
                <w:color w:val="auto"/>
                <w:kern w:val="2"/>
                <w:sz w:val="21"/>
                <w:szCs w:val="24"/>
                <w:highlight w:val="none"/>
                <w:lang w:val="en-US" w:eastAsia="zh-CN" w:bidi="ar-SA"/>
              </w:rPr>
              <w:t>2.8MW燃煤锅炉不符合环保要求</w:t>
            </w:r>
            <w:r>
              <w:rPr>
                <w:rFonts w:hint="eastAsia" w:ascii="Times New Roman" w:hAnsi="Times New Roman" w:cs="宋体"/>
                <w:color w:val="auto"/>
                <w:kern w:val="2"/>
                <w:sz w:val="21"/>
                <w:szCs w:val="24"/>
                <w:highlight w:val="none"/>
                <w:lang w:val="en-US" w:eastAsia="zh-CN" w:bidi="ar-SA"/>
              </w:rPr>
              <w:t>，属于《产业结构调整指导目录》（2024年本）中的淘汰类，</w:t>
            </w:r>
            <w:r>
              <w:rPr>
                <w:rFonts w:hint="eastAsia" w:ascii="Times New Roman" w:hAnsi="Times New Roman" w:eastAsia="宋体" w:cs="宋体"/>
                <w:color w:val="auto"/>
                <w:kern w:val="2"/>
                <w:sz w:val="21"/>
                <w:szCs w:val="24"/>
                <w:highlight w:val="none"/>
                <w:lang w:val="en-US" w:eastAsia="zh-CN" w:bidi="ar-SA"/>
              </w:rPr>
              <w:t>本次环评要求将</w:t>
            </w:r>
            <w:r>
              <w:rPr>
                <w:rFonts w:hint="eastAsia" w:ascii="Times New Roman" w:hAnsi="Times New Roman" w:eastAsia="宋体" w:cs="宋体"/>
                <w:b w:val="0"/>
                <w:bCs w:val="0"/>
                <w:color w:val="auto"/>
                <w:sz w:val="21"/>
                <w:highlight w:val="none"/>
                <w:lang w:val="en-US" w:eastAsia="zh-CN"/>
              </w:rPr>
              <w:t>1台</w:t>
            </w:r>
            <w:r>
              <w:rPr>
                <w:rFonts w:hint="eastAsia" w:ascii="Times New Roman" w:hAnsi="Times New Roman" w:eastAsia="宋体" w:cs="宋体"/>
                <w:color w:val="auto"/>
                <w:kern w:val="2"/>
                <w:sz w:val="21"/>
                <w:szCs w:val="24"/>
                <w:highlight w:val="none"/>
                <w:lang w:val="en-US" w:eastAsia="zh-CN" w:bidi="ar-SA"/>
              </w:rPr>
              <w:t>2.8MW燃煤锅炉改造为</w:t>
            </w:r>
            <w:r>
              <w:rPr>
                <w:rFonts w:hint="eastAsia" w:ascii="Times New Roman" w:hAnsi="Times New Roman" w:eastAsia="宋体" w:cs="宋体"/>
                <w:b w:val="0"/>
                <w:bCs w:val="0"/>
                <w:color w:val="auto"/>
                <w:sz w:val="21"/>
                <w:highlight w:val="none"/>
                <w:lang w:val="en-US" w:eastAsia="zh-CN"/>
              </w:rPr>
              <w:t>1台</w:t>
            </w:r>
            <w:r>
              <w:rPr>
                <w:rFonts w:hint="eastAsia" w:ascii="Times New Roman" w:hAnsi="Times New Roman" w:eastAsia="宋体" w:cs="宋体"/>
                <w:color w:val="auto"/>
                <w:kern w:val="2"/>
                <w:sz w:val="21"/>
                <w:szCs w:val="24"/>
                <w:highlight w:val="none"/>
                <w:lang w:val="en-US" w:eastAsia="zh-CN" w:bidi="ar-SA"/>
              </w:rPr>
              <w:t>2.8MW燃生物质锅炉。</w:t>
            </w:r>
          </w:p>
          <w:p w14:paraId="47FF2981">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71468D66">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34BF4642">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6FC78AB5">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08260ABF">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4261839B">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4DA06F4C">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7833B804">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70A97511">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538769C3">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015EDFB3">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45C5F3CA">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2798E47A">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0DD55E02">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5BD93041">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40008EDD">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059E2057">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2E2E13B2">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7D8DCBDB">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520750E2">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45E6859A">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035DB976">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0" w:firstLineChars="200"/>
              <w:jc w:val="both"/>
              <w:textAlignment w:val="auto"/>
              <w:rPr>
                <w:rFonts w:hint="eastAsia" w:ascii="Times New Roman" w:hAnsi="Times New Roman" w:eastAsia="宋体" w:cs="宋体"/>
                <w:color w:val="auto"/>
                <w:kern w:val="2"/>
                <w:sz w:val="21"/>
                <w:szCs w:val="24"/>
                <w:highlight w:val="none"/>
                <w:lang w:val="en-US" w:eastAsia="zh-CN" w:bidi="ar-SA"/>
              </w:rPr>
            </w:pPr>
          </w:p>
          <w:p w14:paraId="7AA1A93C">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宋体"/>
                <w:color w:val="auto"/>
                <w:kern w:val="2"/>
                <w:sz w:val="21"/>
                <w:szCs w:val="24"/>
                <w:highlight w:val="none"/>
                <w:lang w:val="en-US" w:eastAsia="zh-CN" w:bidi="ar-SA"/>
              </w:rPr>
            </w:pPr>
          </w:p>
          <w:p w14:paraId="64B1371D">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宋体"/>
                <w:color w:val="auto"/>
                <w:kern w:val="2"/>
                <w:sz w:val="21"/>
                <w:szCs w:val="24"/>
                <w:highlight w:val="none"/>
                <w:lang w:val="en-US" w:eastAsia="zh-CN" w:bidi="ar-SA"/>
              </w:rPr>
            </w:pPr>
          </w:p>
          <w:p w14:paraId="710D54B1">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宋体"/>
                <w:color w:val="auto"/>
                <w:kern w:val="2"/>
                <w:sz w:val="21"/>
                <w:szCs w:val="24"/>
                <w:highlight w:val="none"/>
                <w:lang w:val="en-US" w:eastAsia="zh-CN" w:bidi="ar-SA"/>
              </w:rPr>
            </w:pPr>
          </w:p>
          <w:p w14:paraId="58822A51">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宋体"/>
                <w:color w:val="auto"/>
                <w:kern w:val="2"/>
                <w:sz w:val="21"/>
                <w:szCs w:val="24"/>
                <w:highlight w:val="none"/>
                <w:lang w:val="en-US" w:eastAsia="zh-CN" w:bidi="ar-SA"/>
              </w:rPr>
            </w:pPr>
          </w:p>
          <w:p w14:paraId="18EC6862">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宋体"/>
                <w:color w:val="auto"/>
                <w:kern w:val="2"/>
                <w:sz w:val="21"/>
                <w:szCs w:val="24"/>
                <w:highlight w:val="none"/>
                <w:lang w:val="en-US" w:eastAsia="zh-CN" w:bidi="ar-SA"/>
              </w:rPr>
            </w:pPr>
          </w:p>
          <w:p w14:paraId="1F9748C0">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宋体"/>
                <w:color w:val="auto"/>
                <w:kern w:val="2"/>
                <w:sz w:val="21"/>
                <w:szCs w:val="24"/>
                <w:highlight w:val="none"/>
                <w:lang w:val="en-US" w:eastAsia="zh-CN" w:bidi="ar-SA"/>
              </w:rPr>
            </w:pPr>
          </w:p>
          <w:p w14:paraId="097727FC">
            <w:pPr>
              <w:pStyle w:val="300"/>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imes New Roman" w:hAnsi="Times New Roman" w:eastAsia="宋体" w:cs="宋体"/>
                <w:color w:val="auto"/>
                <w:kern w:val="2"/>
                <w:sz w:val="21"/>
                <w:szCs w:val="24"/>
                <w:highlight w:val="none"/>
                <w:lang w:val="en-US" w:eastAsia="zh-CN" w:bidi="ar-SA"/>
              </w:rPr>
            </w:pPr>
          </w:p>
        </w:tc>
      </w:tr>
    </w:tbl>
    <w:p w14:paraId="79EB293D">
      <w:pPr>
        <w:pStyle w:val="36"/>
        <w:jc w:val="center"/>
        <w:rPr>
          <w:rFonts w:hint="default" w:ascii="Times New Roman" w:hAnsi="Times New Roman" w:cs="Times New Roman"/>
          <w:snapToGrid w:val="0"/>
          <w:color w:val="auto"/>
          <w:sz w:val="36"/>
          <w:szCs w:val="36"/>
          <w:highlight w:val="none"/>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34A32E7">
      <w:pPr>
        <w:pStyle w:val="36"/>
        <w:jc w:val="center"/>
        <w:outlineLvl w:val="0"/>
        <w:rPr>
          <w:rFonts w:hint="default" w:ascii="Times New Roman" w:hAnsi="Times New Roman" w:cs="Times New Roman"/>
          <w:snapToGrid w:val="0"/>
          <w:color w:val="auto"/>
          <w:sz w:val="30"/>
          <w:szCs w:val="30"/>
          <w:highlight w:val="none"/>
        </w:rPr>
      </w:pPr>
      <w:bookmarkStart w:id="22" w:name="_Toc29544"/>
      <w:bookmarkStart w:id="23" w:name="_Toc82778252"/>
      <w:bookmarkStart w:id="24" w:name="_Toc16005"/>
      <w:bookmarkStart w:id="25" w:name="_Toc22463"/>
      <w:r>
        <w:rPr>
          <w:rFonts w:hint="default" w:ascii="Times New Roman" w:hAnsi="Times New Roman" w:cs="Times New Roman"/>
          <w:snapToGrid w:val="0"/>
          <w:color w:val="auto"/>
          <w:sz w:val="30"/>
          <w:szCs w:val="30"/>
          <w:highlight w:val="none"/>
        </w:rPr>
        <w:t>三</w:t>
      </w:r>
      <w:r>
        <w:rPr>
          <w:rFonts w:hint="eastAsia" w:ascii="黑体" w:hAnsi="黑体" w:eastAsia="黑体" w:cs="黑体"/>
          <w:snapToGrid w:val="0"/>
          <w:color w:val="auto"/>
          <w:sz w:val="30"/>
          <w:szCs w:val="30"/>
          <w:highlight w:val="none"/>
        </w:rPr>
        <w:t>、区域环境质量现状、环境保护目标及评价标准</w:t>
      </w:r>
      <w:bookmarkEnd w:id="22"/>
      <w:bookmarkEnd w:id="23"/>
      <w:bookmarkEnd w:id="24"/>
      <w:bookmarkEnd w:id="25"/>
    </w:p>
    <w:tbl>
      <w:tblPr>
        <w:tblStyle w:val="4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84"/>
        <w:gridCol w:w="8577"/>
      </w:tblGrid>
      <w:tr w14:paraId="0CD2F9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484" w:type="dxa"/>
            <w:noWrap w:val="0"/>
            <w:vAlign w:val="center"/>
          </w:tcPr>
          <w:p w14:paraId="51EE1D1D">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区域</w:t>
            </w:r>
          </w:p>
          <w:p w14:paraId="32D26FA6">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环境</w:t>
            </w:r>
          </w:p>
          <w:p w14:paraId="11579AE7">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质量</w:t>
            </w:r>
          </w:p>
          <w:p w14:paraId="210B6A54">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现状</w:t>
            </w:r>
          </w:p>
        </w:tc>
        <w:tc>
          <w:tcPr>
            <w:tcW w:w="8577" w:type="dxa"/>
            <w:noWrap w:val="0"/>
            <w:vAlign w:val="center"/>
          </w:tcPr>
          <w:p w14:paraId="13BF5739">
            <w:pPr>
              <w:adjustRightInd w:val="0"/>
              <w:snapToGrid w:val="0"/>
              <w:spacing w:line="360" w:lineRule="auto"/>
              <w:ind w:firstLine="422" w:firstLineChars="200"/>
              <w:jc w:val="left"/>
              <w:rPr>
                <w:rFonts w:hint="default" w:ascii="Times New Roman" w:hAnsi="Times New Roman" w:eastAsia="宋体" w:cs="Times New Roman"/>
                <w:b/>
                <w:bCs/>
                <w:color w:val="auto"/>
                <w:kern w:val="0"/>
                <w:sz w:val="21"/>
                <w:highlight w:val="none"/>
              </w:rPr>
            </w:pPr>
            <w:r>
              <w:rPr>
                <w:rFonts w:hint="default" w:ascii="Times New Roman" w:hAnsi="Times New Roman" w:eastAsia="宋体" w:cs="Times New Roman"/>
                <w:b/>
                <w:bCs/>
                <w:color w:val="auto"/>
                <w:kern w:val="0"/>
                <w:sz w:val="21"/>
                <w:highlight w:val="none"/>
              </w:rPr>
              <w:t>1、环境空气</w:t>
            </w:r>
          </w:p>
          <w:p w14:paraId="4A70D0B3">
            <w:pPr>
              <w:tabs>
                <w:tab w:val="left" w:pos="3960"/>
              </w:tabs>
              <w:snapToGrid w:val="0"/>
              <w:spacing w:line="360" w:lineRule="auto"/>
              <w:ind w:firstLine="422" w:firstLineChars="200"/>
              <w:outlineLvl w:val="9"/>
              <w:rPr>
                <w:rFonts w:hint="default" w:ascii="Times New Roman" w:hAnsi="Times New Roman" w:eastAsia="宋体" w:cs="Times New Roman"/>
                <w:color w:val="auto"/>
                <w:kern w:val="0"/>
                <w:sz w:val="21"/>
                <w:highlight w:val="none"/>
              </w:rPr>
            </w:pPr>
            <w:r>
              <w:rPr>
                <w:rFonts w:hint="default" w:ascii="Times New Roman" w:hAnsi="Times New Roman" w:eastAsia="宋体" w:cs="Times New Roman"/>
                <w:b/>
                <w:bCs/>
                <w:snapToGrid w:val="0"/>
                <w:color w:val="auto"/>
                <w:kern w:val="0"/>
                <w:sz w:val="21"/>
                <w:highlight w:val="none"/>
              </w:rPr>
              <w:t>（1）基本污染物</w:t>
            </w:r>
          </w:p>
          <w:p w14:paraId="0AC7FF44">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outlineLvl w:val="9"/>
              <w:rPr>
                <w:rFonts w:hint="default" w:ascii="Times New Roman" w:hAnsi="Times New Roman" w:eastAsia="宋体" w:cs="Times New Roman"/>
                <w:color w:val="auto"/>
                <w:kern w:val="0"/>
                <w:sz w:val="21"/>
                <w:highlight w:val="none"/>
              </w:rPr>
            </w:pPr>
            <w:r>
              <w:rPr>
                <w:rFonts w:hint="default" w:ascii="Times New Roman" w:hAnsi="Times New Roman" w:eastAsia="宋体" w:cs="Times New Roman"/>
                <w:color w:val="auto"/>
                <w:kern w:val="2"/>
                <w:sz w:val="21"/>
                <w:szCs w:val="24"/>
                <w:highlight w:val="none"/>
                <w:lang w:val="en-US" w:eastAsia="zh-CN" w:bidi="ar-SA"/>
              </w:rPr>
              <w:t>根据《2024年伊春市生态环境质量公报》，202</w:t>
            </w:r>
            <w:r>
              <w:rPr>
                <w:rFonts w:hint="eastAsia" w:cs="Times New Roman"/>
                <w:color w:val="auto"/>
                <w:kern w:val="2"/>
                <w:sz w:val="21"/>
                <w:szCs w:val="24"/>
                <w:highlight w:val="none"/>
                <w:lang w:val="en-US" w:eastAsia="zh-CN" w:bidi="ar-SA"/>
              </w:rPr>
              <w:t>4</w:t>
            </w:r>
            <w:r>
              <w:rPr>
                <w:rFonts w:hint="default" w:ascii="Times New Roman" w:hAnsi="Times New Roman" w:eastAsia="宋体" w:cs="Times New Roman"/>
                <w:color w:val="auto"/>
                <w:kern w:val="2"/>
                <w:sz w:val="21"/>
                <w:szCs w:val="24"/>
                <w:highlight w:val="none"/>
                <w:lang w:val="en-US" w:eastAsia="zh-CN" w:bidi="ar-SA"/>
              </w:rPr>
              <w:t>年，</w:t>
            </w:r>
            <w:r>
              <w:rPr>
                <w:rFonts w:hint="eastAsia" w:cs="Times New Roman"/>
                <w:color w:val="auto"/>
                <w:kern w:val="2"/>
                <w:sz w:val="21"/>
                <w:szCs w:val="24"/>
                <w:highlight w:val="none"/>
                <w:lang w:val="en-US" w:eastAsia="zh-CN" w:bidi="ar-SA"/>
              </w:rPr>
              <w:t>伊春市</w:t>
            </w:r>
            <w:r>
              <w:rPr>
                <w:rFonts w:hint="default" w:ascii="Times New Roman" w:hAnsi="Times New Roman" w:eastAsia="宋体" w:cs="Times New Roman"/>
                <w:color w:val="auto"/>
                <w:kern w:val="2"/>
                <w:sz w:val="21"/>
                <w:szCs w:val="24"/>
                <w:highlight w:val="none"/>
                <w:lang w:val="en-US" w:eastAsia="zh-CN" w:bidi="ar-SA"/>
              </w:rPr>
              <w:t>大气污染物6项指标年均值都符合《环境空气质量标准》(GB3095-2012)二级标准，无超标项。PM</w:t>
            </w:r>
            <w:r>
              <w:rPr>
                <w:rFonts w:hint="default" w:ascii="Times New Roman" w:hAnsi="Times New Roman" w:eastAsia="宋体" w:cs="Times New Roman"/>
                <w:color w:val="auto"/>
                <w:kern w:val="2"/>
                <w:sz w:val="21"/>
                <w:szCs w:val="24"/>
                <w:highlight w:val="none"/>
                <w:vertAlign w:val="subscript"/>
                <w:lang w:val="en-US" w:eastAsia="zh-CN" w:bidi="ar-SA"/>
              </w:rPr>
              <w:t>2</w:t>
            </w:r>
            <w:r>
              <w:rPr>
                <w:rFonts w:hint="eastAsia" w:cs="Times New Roman"/>
                <w:color w:val="auto"/>
                <w:kern w:val="2"/>
                <w:sz w:val="21"/>
                <w:szCs w:val="24"/>
                <w:highlight w:val="none"/>
                <w:vertAlign w:val="subscript"/>
                <w:lang w:val="en-US" w:eastAsia="zh-CN" w:bidi="ar-SA"/>
              </w:rPr>
              <w:t>.</w:t>
            </w:r>
            <w:r>
              <w:rPr>
                <w:rFonts w:hint="default" w:ascii="Times New Roman" w:hAnsi="Times New Roman" w:eastAsia="宋体" w:cs="Times New Roman"/>
                <w:color w:val="auto"/>
                <w:kern w:val="2"/>
                <w:sz w:val="21"/>
                <w:szCs w:val="24"/>
                <w:highlight w:val="none"/>
                <w:vertAlign w:val="subscript"/>
                <w:lang w:val="en-US" w:eastAsia="zh-CN" w:bidi="ar-SA"/>
              </w:rPr>
              <w:t>5</w:t>
            </w:r>
            <w:r>
              <w:rPr>
                <w:rFonts w:hint="default" w:ascii="Times New Roman" w:hAnsi="Times New Roman" w:eastAsia="宋体" w:cs="Times New Roman"/>
                <w:color w:val="auto"/>
                <w:kern w:val="2"/>
                <w:sz w:val="21"/>
                <w:szCs w:val="24"/>
                <w:highlight w:val="none"/>
                <w:lang w:val="en-US" w:eastAsia="zh-CN" w:bidi="ar-SA"/>
              </w:rPr>
              <w:t>全市平均浓度为24ug/m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,同比升高2ug</w:t>
            </w:r>
            <w:r>
              <w:rPr>
                <w:rFonts w:hint="eastAsia"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(9.1%)。PM</w:t>
            </w:r>
            <w:r>
              <w:rPr>
                <w:rFonts w:hint="default" w:ascii="Times New Roman" w:hAnsi="Times New Roman" w:eastAsia="宋体" w:cs="Times New Roman"/>
                <w:color w:val="auto"/>
                <w:kern w:val="2"/>
                <w:sz w:val="21"/>
                <w:szCs w:val="24"/>
                <w:highlight w:val="none"/>
                <w:vertAlign w:val="subscript"/>
                <w:lang w:val="en-US" w:eastAsia="zh-CN" w:bidi="ar-SA"/>
              </w:rPr>
              <w:t>1</w:t>
            </w:r>
            <w:r>
              <w:rPr>
                <w:rFonts w:hint="eastAsia" w:cs="Times New Roman"/>
                <w:color w:val="auto"/>
                <w:kern w:val="2"/>
                <w:sz w:val="21"/>
                <w:szCs w:val="24"/>
                <w:highlight w:val="none"/>
                <w:vertAlign w:val="subscript"/>
                <w:lang w:val="en-US" w:eastAsia="zh-CN" w:bidi="ar-SA"/>
              </w:rPr>
              <w:t>0</w:t>
            </w:r>
            <w:r>
              <w:rPr>
                <w:rFonts w:hint="default" w:ascii="Times New Roman" w:hAnsi="Times New Roman" w:eastAsia="宋体" w:cs="Times New Roman"/>
                <w:color w:val="auto"/>
                <w:kern w:val="2"/>
                <w:sz w:val="21"/>
                <w:szCs w:val="24"/>
                <w:highlight w:val="none"/>
                <w:lang w:val="en-US" w:eastAsia="zh-CN" w:bidi="ar-SA"/>
              </w:rPr>
              <w:t>全市平均浓度为34ug/m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,同比升高1ug/m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(3.0%)。SO</w:t>
            </w:r>
            <w:r>
              <w:rPr>
                <w:rFonts w:hint="default" w:ascii="Times New Roman" w:hAnsi="Times New Roman" w:eastAsia="宋体" w:cs="Times New Roman"/>
                <w:color w:val="auto"/>
                <w:kern w:val="2"/>
                <w:sz w:val="21"/>
                <w:szCs w:val="24"/>
                <w:highlight w:val="none"/>
                <w:vertAlign w:val="subscript"/>
                <w:lang w:val="en-US" w:eastAsia="zh-CN" w:bidi="ar-SA"/>
              </w:rPr>
              <w:t>2</w:t>
            </w:r>
            <w:r>
              <w:rPr>
                <w:rFonts w:hint="default" w:ascii="Times New Roman" w:hAnsi="Times New Roman" w:eastAsia="宋体" w:cs="Times New Roman"/>
                <w:color w:val="auto"/>
                <w:kern w:val="2"/>
                <w:sz w:val="21"/>
                <w:szCs w:val="24"/>
                <w:highlight w:val="none"/>
                <w:lang w:val="en-US" w:eastAsia="zh-CN" w:bidi="ar-SA"/>
              </w:rPr>
              <w:t>全市平均浓度为7ug/m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,同比无变化。NO</w:t>
            </w:r>
            <w:r>
              <w:rPr>
                <w:rFonts w:hint="default" w:ascii="Times New Roman" w:hAnsi="Times New Roman" w:eastAsia="宋体" w:cs="Times New Roman"/>
                <w:color w:val="auto"/>
                <w:kern w:val="2"/>
                <w:sz w:val="21"/>
                <w:szCs w:val="24"/>
                <w:highlight w:val="none"/>
                <w:vertAlign w:val="subscript"/>
                <w:lang w:val="en-US" w:eastAsia="zh-CN" w:bidi="ar-SA"/>
              </w:rPr>
              <w:t>2</w:t>
            </w:r>
            <w:r>
              <w:rPr>
                <w:rFonts w:hint="default" w:ascii="Times New Roman" w:hAnsi="Times New Roman" w:eastAsia="宋体" w:cs="Times New Roman"/>
                <w:color w:val="auto"/>
                <w:kern w:val="2"/>
                <w:sz w:val="21"/>
                <w:szCs w:val="24"/>
                <w:highlight w:val="none"/>
                <w:lang w:val="en-US" w:eastAsia="zh-CN" w:bidi="ar-SA"/>
              </w:rPr>
              <w:t>全市平均浓度为13ug/m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,同比升高1ug/m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(8.3%)。C</w:t>
            </w:r>
            <w:r>
              <w:rPr>
                <w:rFonts w:hint="eastAsia" w:cs="Times New Roman"/>
                <w:color w:val="auto"/>
                <w:kern w:val="2"/>
                <w:sz w:val="21"/>
                <w:szCs w:val="24"/>
                <w:highlight w:val="none"/>
                <w:lang w:val="en-US" w:eastAsia="zh-CN" w:bidi="ar-SA"/>
              </w:rPr>
              <w:t>O</w:t>
            </w:r>
            <w:r>
              <w:rPr>
                <w:rFonts w:hint="default" w:ascii="Times New Roman" w:hAnsi="Times New Roman" w:eastAsia="宋体" w:cs="Times New Roman"/>
                <w:color w:val="auto"/>
                <w:kern w:val="2"/>
                <w:sz w:val="21"/>
                <w:szCs w:val="24"/>
                <w:highlight w:val="none"/>
                <w:lang w:val="en-US" w:eastAsia="zh-CN" w:bidi="ar-SA"/>
              </w:rPr>
              <w:t>24小时第95百分位数全市平均浓度为0.8ug/m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,同比下降0.2ug/m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(20.0</w:t>
            </w:r>
            <w:r>
              <w:rPr>
                <w:rFonts w:hint="eastAsia"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)。O</w:t>
            </w:r>
            <w:r>
              <w:rPr>
                <w:rFonts w:hint="eastAsia" w:cs="Times New Roman"/>
                <w:color w:val="auto"/>
                <w:kern w:val="2"/>
                <w:sz w:val="21"/>
                <w:szCs w:val="24"/>
                <w:highlight w:val="none"/>
                <w:vertAlign w:val="sub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日最大8小时第90百分位数全市平均浓度为104ug/m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,同比下降2ug/m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(1.9%)</w:t>
            </w:r>
            <w:r>
              <w:rPr>
                <w:rFonts w:hint="eastAsia" w:cs="Times New Roman"/>
                <w:color w:val="auto"/>
                <w:kern w:val="2"/>
                <w:sz w:val="21"/>
                <w:szCs w:val="24"/>
                <w:highlight w:val="none"/>
                <w:lang w:val="en-US" w:eastAsia="zh-CN" w:bidi="ar-SA"/>
              </w:rPr>
              <w:t>。</w:t>
            </w:r>
            <w:r>
              <w:rPr>
                <w:rFonts w:hint="default" w:ascii="Times New Roman" w:hAnsi="Times New Roman" w:eastAsia="宋体" w:cs="Times New Roman"/>
                <w:color w:val="auto"/>
                <w:kern w:val="2"/>
                <w:sz w:val="21"/>
                <w:szCs w:val="24"/>
                <w:highlight w:val="none"/>
                <w:lang w:val="en-US" w:eastAsia="zh-CN" w:bidi="ar-SA"/>
              </w:rPr>
              <w:t>根据《2024年伊春市生态环境质量公报》结果，评价区环境空气质量能够满足环境空气二类功能区要求，项目所在区域为达标区。</w:t>
            </w:r>
          </w:p>
          <w:p w14:paraId="6BF833F7">
            <w:pPr>
              <w:pStyle w:val="20"/>
              <w:snapToGrid w:val="0"/>
              <w:spacing w:line="360" w:lineRule="auto"/>
              <w:ind w:firstLine="422" w:firstLineChars="200"/>
              <w:outlineLvl w:val="9"/>
              <w:rPr>
                <w:rFonts w:hint="default" w:ascii="Times New Roman" w:hAnsi="Times New Roman" w:eastAsia="宋体" w:cs="Times New Roman"/>
                <w:b/>
                <w:bCs/>
                <w:color w:val="auto"/>
                <w:sz w:val="21"/>
                <w:szCs w:val="24"/>
                <w:highlight w:val="none"/>
                <w:lang w:val="en-US" w:eastAsia="zh-CN"/>
              </w:rPr>
            </w:pPr>
            <w:r>
              <w:rPr>
                <w:rFonts w:hint="default" w:ascii="Times New Roman" w:hAnsi="Times New Roman" w:eastAsia="宋体" w:cs="Times New Roman"/>
                <w:b/>
                <w:bCs/>
                <w:color w:val="auto"/>
                <w:sz w:val="21"/>
                <w:szCs w:val="24"/>
                <w:highlight w:val="none"/>
                <w:lang w:val="en-US" w:eastAsia="zh-CN"/>
              </w:rPr>
              <w:t>（2）其他污染物</w:t>
            </w:r>
          </w:p>
          <w:p w14:paraId="09870CB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outlineLvl w:val="9"/>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本项目其他污染物评价因子为TSP和氮氧化物，委托哈尔滨新巨环保科技有限公司进行监测，监测时间2025年</w:t>
            </w:r>
            <w:r>
              <w:rPr>
                <w:rFonts w:hint="eastAsia" w:ascii="Times New Roman" w:hAnsi="Times New Roman" w:eastAsia="宋体" w:cs="Times New Roman"/>
                <w:color w:val="auto"/>
                <w:kern w:val="2"/>
                <w:sz w:val="21"/>
                <w:szCs w:val="24"/>
                <w:highlight w:val="none"/>
                <w:lang w:val="en-US" w:eastAsia="zh-CN" w:bidi="ar-SA"/>
              </w:rPr>
              <w:t>10</w:t>
            </w:r>
            <w:r>
              <w:rPr>
                <w:rFonts w:hint="default" w:ascii="Times New Roman" w:hAnsi="Times New Roman" w:eastAsia="宋体" w:cs="Times New Roman"/>
                <w:color w:val="auto"/>
                <w:kern w:val="2"/>
                <w:sz w:val="21"/>
                <w:szCs w:val="24"/>
                <w:highlight w:val="none"/>
                <w:lang w:val="en-US" w:eastAsia="zh-CN" w:bidi="ar-SA"/>
              </w:rPr>
              <w:t>月</w:t>
            </w:r>
            <w:r>
              <w:rPr>
                <w:rFonts w:hint="eastAsia" w:ascii="Times New Roman" w:hAnsi="Times New Roman" w:eastAsia="宋体" w:cs="Times New Roman"/>
                <w:color w:val="auto"/>
                <w:kern w:val="2"/>
                <w:sz w:val="21"/>
                <w:szCs w:val="24"/>
                <w:highlight w:val="none"/>
                <w:lang w:val="en-US" w:eastAsia="zh-CN" w:bidi="ar-SA"/>
              </w:rPr>
              <w:t>24</w:t>
            </w:r>
            <w:r>
              <w:rPr>
                <w:rFonts w:hint="default" w:ascii="Times New Roman" w:hAnsi="Times New Roman" w:eastAsia="宋体" w:cs="Times New Roman"/>
                <w:color w:val="auto"/>
                <w:kern w:val="2"/>
                <w:sz w:val="21"/>
                <w:szCs w:val="24"/>
                <w:highlight w:val="none"/>
                <w:lang w:val="en-US" w:eastAsia="zh-CN" w:bidi="ar-SA"/>
              </w:rPr>
              <w:t>日~2025年</w:t>
            </w:r>
            <w:r>
              <w:rPr>
                <w:rFonts w:hint="eastAsia" w:ascii="Times New Roman" w:hAnsi="Times New Roman" w:eastAsia="宋体" w:cs="Times New Roman"/>
                <w:color w:val="auto"/>
                <w:kern w:val="2"/>
                <w:sz w:val="21"/>
                <w:szCs w:val="24"/>
                <w:highlight w:val="none"/>
                <w:lang w:val="en-US" w:eastAsia="zh-CN" w:bidi="ar-SA"/>
              </w:rPr>
              <w:t>10</w:t>
            </w:r>
            <w:r>
              <w:rPr>
                <w:rFonts w:hint="default" w:ascii="Times New Roman" w:hAnsi="Times New Roman" w:eastAsia="宋体" w:cs="Times New Roman"/>
                <w:color w:val="auto"/>
                <w:kern w:val="2"/>
                <w:sz w:val="21"/>
                <w:szCs w:val="24"/>
                <w:highlight w:val="none"/>
                <w:lang w:val="en-US" w:eastAsia="zh-CN" w:bidi="ar-SA"/>
              </w:rPr>
              <w:t>月</w:t>
            </w:r>
            <w:r>
              <w:rPr>
                <w:rFonts w:hint="eastAsia" w:ascii="Times New Roman" w:hAnsi="Times New Roman" w:eastAsia="宋体" w:cs="Times New Roman"/>
                <w:color w:val="auto"/>
                <w:kern w:val="2"/>
                <w:sz w:val="21"/>
                <w:szCs w:val="24"/>
                <w:highlight w:val="none"/>
                <w:lang w:val="en-US" w:eastAsia="zh-CN" w:bidi="ar-SA"/>
              </w:rPr>
              <w:t>2</w:t>
            </w:r>
            <w:r>
              <w:rPr>
                <w:rFonts w:hint="eastAsia" w:cs="Times New Roman"/>
                <w:color w:val="auto"/>
                <w:kern w:val="2"/>
                <w:sz w:val="21"/>
                <w:szCs w:val="24"/>
                <w:highlight w:val="none"/>
                <w:lang w:val="en-US" w:eastAsia="zh-CN" w:bidi="ar-SA"/>
              </w:rPr>
              <w:t>6</w:t>
            </w:r>
            <w:r>
              <w:rPr>
                <w:rFonts w:hint="default" w:ascii="Times New Roman" w:hAnsi="Times New Roman" w:eastAsia="宋体" w:cs="Times New Roman"/>
                <w:color w:val="auto"/>
                <w:kern w:val="2"/>
                <w:sz w:val="21"/>
                <w:szCs w:val="24"/>
                <w:highlight w:val="none"/>
                <w:lang w:val="en-US" w:eastAsia="zh-CN" w:bidi="ar-SA"/>
              </w:rPr>
              <w:t>日，连续监测3天。监测点位在本项目所在位置下风向布设1个监测点，监测点基本信息见表3-1，监测点位图见图3-1。</w:t>
            </w:r>
          </w:p>
          <w:p w14:paraId="01E0C063">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outlineLvl w:val="9"/>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根据哈尔滨新巨环保科技有限公司于2025年</w:t>
            </w:r>
            <w:r>
              <w:rPr>
                <w:rFonts w:hint="eastAsia" w:ascii="Times New Roman" w:hAnsi="Times New Roman" w:eastAsia="宋体" w:cs="Times New Roman"/>
                <w:color w:val="auto"/>
                <w:kern w:val="2"/>
                <w:sz w:val="21"/>
                <w:szCs w:val="24"/>
                <w:highlight w:val="none"/>
                <w:lang w:val="en-US" w:eastAsia="zh-CN" w:bidi="ar-SA"/>
              </w:rPr>
              <w:t>10</w:t>
            </w:r>
            <w:r>
              <w:rPr>
                <w:rFonts w:hint="default" w:ascii="Times New Roman" w:hAnsi="Times New Roman" w:eastAsia="宋体" w:cs="Times New Roman"/>
                <w:color w:val="auto"/>
                <w:kern w:val="2"/>
                <w:sz w:val="21"/>
                <w:szCs w:val="24"/>
                <w:highlight w:val="none"/>
                <w:lang w:val="en-US" w:eastAsia="zh-CN" w:bidi="ar-SA"/>
              </w:rPr>
              <w:t>月</w:t>
            </w:r>
            <w:r>
              <w:rPr>
                <w:rFonts w:hint="eastAsia" w:ascii="Times New Roman" w:hAnsi="Times New Roman" w:eastAsia="宋体" w:cs="Times New Roman"/>
                <w:color w:val="auto"/>
                <w:kern w:val="2"/>
                <w:sz w:val="21"/>
                <w:szCs w:val="24"/>
                <w:highlight w:val="none"/>
                <w:lang w:val="en-US" w:eastAsia="zh-CN" w:bidi="ar-SA"/>
              </w:rPr>
              <w:t>24</w:t>
            </w:r>
            <w:r>
              <w:rPr>
                <w:rFonts w:hint="default" w:ascii="Times New Roman" w:hAnsi="Times New Roman" w:eastAsia="宋体" w:cs="Times New Roman"/>
                <w:color w:val="auto"/>
                <w:kern w:val="2"/>
                <w:sz w:val="21"/>
                <w:szCs w:val="24"/>
                <w:highlight w:val="none"/>
                <w:lang w:val="en-US" w:eastAsia="zh-CN" w:bidi="ar-SA"/>
              </w:rPr>
              <w:t>日~</w:t>
            </w:r>
            <w:r>
              <w:rPr>
                <w:rFonts w:hint="eastAsia" w:ascii="Times New Roman" w:hAnsi="Times New Roman" w:eastAsia="宋体" w:cs="Times New Roman"/>
                <w:color w:val="auto"/>
                <w:kern w:val="2"/>
                <w:sz w:val="21"/>
                <w:szCs w:val="24"/>
                <w:highlight w:val="none"/>
                <w:lang w:val="en-US" w:eastAsia="zh-CN" w:bidi="ar-SA"/>
              </w:rPr>
              <w:t>2</w:t>
            </w:r>
            <w:r>
              <w:rPr>
                <w:rFonts w:hint="eastAsia" w:cs="Times New Roman"/>
                <w:color w:val="auto"/>
                <w:kern w:val="2"/>
                <w:sz w:val="21"/>
                <w:szCs w:val="24"/>
                <w:highlight w:val="none"/>
                <w:lang w:val="en-US" w:eastAsia="zh-CN" w:bidi="ar-SA"/>
              </w:rPr>
              <w:t>6</w:t>
            </w:r>
            <w:r>
              <w:rPr>
                <w:rFonts w:hint="default" w:ascii="Times New Roman" w:hAnsi="Times New Roman" w:eastAsia="宋体" w:cs="Times New Roman"/>
                <w:color w:val="auto"/>
                <w:kern w:val="2"/>
                <w:sz w:val="21"/>
                <w:szCs w:val="24"/>
                <w:highlight w:val="none"/>
                <w:lang w:val="en-US" w:eastAsia="zh-CN" w:bidi="ar-SA"/>
              </w:rPr>
              <w:t>日对本项目厂址下风处的TSP和氮氧化物进行现状监测。监测点TSP日均监测值为0.0</w:t>
            </w:r>
            <w:r>
              <w:rPr>
                <w:rFonts w:hint="eastAsia" w:ascii="Times New Roman" w:hAnsi="Times New Roman" w:eastAsia="宋体" w:cs="Times New Roman"/>
                <w:color w:val="auto"/>
                <w:kern w:val="2"/>
                <w:sz w:val="21"/>
                <w:szCs w:val="24"/>
                <w:highlight w:val="none"/>
                <w:lang w:val="en-US" w:eastAsia="zh-CN" w:bidi="ar-SA"/>
              </w:rPr>
              <w:t>76</w:t>
            </w:r>
            <w:r>
              <w:rPr>
                <w:rFonts w:hint="default" w:ascii="Times New Roman" w:hAnsi="Times New Roman" w:eastAsia="宋体" w:cs="Times New Roman"/>
                <w:color w:val="auto"/>
                <w:kern w:val="2"/>
                <w:sz w:val="21"/>
                <w:szCs w:val="24"/>
                <w:highlight w:val="none"/>
                <w:lang w:val="en-US" w:eastAsia="zh-CN" w:bidi="ar-SA"/>
              </w:rPr>
              <w:t>-0.0</w:t>
            </w:r>
            <w:r>
              <w:rPr>
                <w:rFonts w:hint="eastAsia" w:ascii="Times New Roman" w:hAnsi="Times New Roman" w:eastAsia="宋体" w:cs="Times New Roman"/>
                <w:color w:val="auto"/>
                <w:kern w:val="2"/>
                <w:sz w:val="21"/>
                <w:szCs w:val="24"/>
                <w:highlight w:val="none"/>
                <w:lang w:val="en-US" w:eastAsia="zh-CN" w:bidi="ar-SA"/>
              </w:rPr>
              <w:t>78</w:t>
            </w:r>
            <w:r>
              <w:rPr>
                <w:rFonts w:hint="default" w:ascii="Times New Roman" w:hAnsi="Times New Roman" w:eastAsia="宋体" w:cs="Times New Roman"/>
                <w:color w:val="auto"/>
                <w:kern w:val="2"/>
                <w:sz w:val="21"/>
                <w:szCs w:val="24"/>
                <w:highlight w:val="none"/>
                <w:lang w:val="en-US" w:eastAsia="zh-CN" w:bidi="ar-SA"/>
              </w:rPr>
              <w:t>mg/m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；NOx日均监测值为0.0</w:t>
            </w:r>
            <w:r>
              <w:rPr>
                <w:rFonts w:hint="eastAsia" w:ascii="Times New Roman" w:hAnsi="Times New Roman" w:eastAsia="宋体" w:cs="Times New Roman"/>
                <w:color w:val="auto"/>
                <w:kern w:val="2"/>
                <w:sz w:val="21"/>
                <w:szCs w:val="24"/>
                <w:highlight w:val="none"/>
                <w:lang w:val="en-US" w:eastAsia="zh-CN" w:bidi="ar-SA"/>
              </w:rPr>
              <w:t>32</w:t>
            </w:r>
            <w:r>
              <w:rPr>
                <w:rFonts w:hint="default" w:ascii="Times New Roman" w:hAnsi="Times New Roman" w:eastAsia="宋体" w:cs="Times New Roman"/>
                <w:color w:val="auto"/>
                <w:kern w:val="2"/>
                <w:sz w:val="21"/>
                <w:szCs w:val="24"/>
                <w:highlight w:val="none"/>
                <w:lang w:val="en-US" w:eastAsia="zh-CN" w:bidi="ar-SA"/>
              </w:rPr>
              <w:t>~0.0</w:t>
            </w:r>
            <w:r>
              <w:rPr>
                <w:rFonts w:hint="eastAsia" w:ascii="Times New Roman" w:hAnsi="Times New Roman" w:eastAsia="宋体" w:cs="Times New Roman"/>
                <w:color w:val="auto"/>
                <w:kern w:val="2"/>
                <w:sz w:val="21"/>
                <w:szCs w:val="24"/>
                <w:highlight w:val="none"/>
                <w:lang w:val="en-US" w:eastAsia="zh-CN" w:bidi="ar-SA"/>
              </w:rPr>
              <w:t>36</w:t>
            </w:r>
            <w:r>
              <w:rPr>
                <w:rFonts w:hint="default" w:ascii="Times New Roman" w:hAnsi="Times New Roman" w:eastAsia="宋体" w:cs="Times New Roman"/>
                <w:color w:val="auto"/>
                <w:kern w:val="2"/>
                <w:sz w:val="21"/>
                <w:szCs w:val="24"/>
                <w:highlight w:val="none"/>
                <w:lang w:val="en-US" w:eastAsia="zh-CN" w:bidi="ar-SA"/>
              </w:rPr>
              <w:t>mg/m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，小时监测值为0.0</w:t>
            </w:r>
            <w:r>
              <w:rPr>
                <w:rFonts w:hint="eastAsia" w:ascii="Times New Roman" w:hAnsi="Times New Roman" w:eastAsia="宋体" w:cs="Times New Roman"/>
                <w:color w:val="auto"/>
                <w:kern w:val="2"/>
                <w:sz w:val="21"/>
                <w:szCs w:val="24"/>
                <w:highlight w:val="none"/>
                <w:lang w:val="en-US" w:eastAsia="zh-CN" w:bidi="ar-SA"/>
              </w:rPr>
              <w:t>56</w:t>
            </w:r>
            <w:r>
              <w:rPr>
                <w:rFonts w:hint="default" w:ascii="Times New Roman" w:hAnsi="Times New Roman" w:eastAsia="宋体" w:cs="Times New Roman"/>
                <w:color w:val="auto"/>
                <w:kern w:val="2"/>
                <w:sz w:val="21"/>
                <w:szCs w:val="24"/>
                <w:highlight w:val="none"/>
                <w:lang w:val="en-US" w:eastAsia="zh-CN" w:bidi="ar-SA"/>
              </w:rPr>
              <w:t>~0.075mg/m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。TSP浓度均满足《环境空气质量标准》（GB30952012）二级标准的浓度限值要求，NO</w:t>
            </w:r>
            <w:r>
              <w:rPr>
                <w:rFonts w:hint="default" w:ascii="Times New Roman" w:hAnsi="Times New Roman" w:eastAsia="宋体" w:cs="Times New Roman"/>
                <w:color w:val="auto"/>
                <w:kern w:val="2"/>
                <w:sz w:val="21"/>
                <w:szCs w:val="24"/>
                <w:highlight w:val="none"/>
                <w:vertAlign w:val="subscript"/>
                <w:lang w:val="en-US" w:eastAsia="zh-CN" w:bidi="ar-SA"/>
              </w:rPr>
              <w:t>X</w:t>
            </w:r>
            <w:r>
              <w:rPr>
                <w:rFonts w:hint="default" w:ascii="Times New Roman" w:hAnsi="Times New Roman" w:eastAsia="宋体" w:cs="Times New Roman"/>
                <w:color w:val="auto"/>
                <w:kern w:val="2"/>
                <w:sz w:val="21"/>
                <w:szCs w:val="24"/>
                <w:highlight w:val="none"/>
                <w:lang w:val="en-US" w:eastAsia="zh-CN" w:bidi="ar-SA"/>
              </w:rPr>
              <w:t>浓度满足《环境空气质量标准》（GB3095-2012）二级标准浓度限值要求（小时值浓度</w:t>
            </w:r>
            <w:r>
              <w:rPr>
                <w:rFonts w:hint="eastAsia" w:cs="Times New Roman"/>
                <w:color w:val="auto"/>
                <w:kern w:val="2"/>
                <w:sz w:val="21"/>
                <w:szCs w:val="24"/>
                <w:highlight w:val="none"/>
                <w:lang w:val="en-US" w:eastAsia="zh-CN" w:bidi="ar-SA"/>
              </w:rPr>
              <w:t>0.25</w:t>
            </w:r>
            <w:r>
              <w:rPr>
                <w:rFonts w:hint="eastAsia" w:ascii="Times New Roman" w:hAnsi="Times New Roman" w:eastAsia="宋体" w:cs="Times New Roman"/>
                <w:color w:val="auto"/>
                <w:kern w:val="2"/>
                <w:sz w:val="21"/>
                <w:szCs w:val="24"/>
                <w:highlight w:val="none"/>
                <w:lang w:val="en-US" w:eastAsia="zh-CN" w:bidi="ar-SA"/>
              </w:rPr>
              <w:t>m</w:t>
            </w:r>
            <w:r>
              <w:rPr>
                <w:rFonts w:hint="default" w:ascii="Times New Roman" w:hAnsi="Times New Roman" w:eastAsia="宋体" w:cs="Times New Roman"/>
                <w:color w:val="auto"/>
                <w:kern w:val="2"/>
                <w:sz w:val="21"/>
                <w:szCs w:val="24"/>
                <w:highlight w:val="none"/>
                <w:lang w:val="en-US" w:eastAsia="zh-CN" w:bidi="ar-SA"/>
              </w:rPr>
              <w:t>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，24小时平均值</w:t>
            </w:r>
            <w:r>
              <w:rPr>
                <w:rFonts w:hint="eastAsia" w:cs="Times New Roman"/>
                <w:color w:val="auto"/>
                <w:kern w:val="2"/>
                <w:sz w:val="21"/>
                <w:szCs w:val="24"/>
                <w:highlight w:val="none"/>
                <w:lang w:val="en-US" w:eastAsia="zh-CN" w:bidi="ar-SA"/>
              </w:rPr>
              <w:t>0.1</w:t>
            </w:r>
            <w:r>
              <w:rPr>
                <w:rFonts w:hint="eastAsia" w:ascii="Times New Roman" w:hAnsi="Times New Roman" w:eastAsia="宋体" w:cs="Times New Roman"/>
                <w:color w:val="auto"/>
                <w:kern w:val="2"/>
                <w:sz w:val="21"/>
                <w:szCs w:val="24"/>
                <w:highlight w:val="none"/>
                <w:lang w:val="en-US" w:eastAsia="zh-CN" w:bidi="ar-SA"/>
              </w:rPr>
              <w:t>m</w:t>
            </w:r>
            <w:r>
              <w:rPr>
                <w:rFonts w:hint="default" w:ascii="Times New Roman" w:hAnsi="Times New Roman" w:eastAsia="宋体" w:cs="Times New Roman"/>
                <w:color w:val="auto"/>
                <w:kern w:val="2"/>
                <w:sz w:val="21"/>
                <w:szCs w:val="24"/>
                <w:highlight w:val="none"/>
                <w:lang w:val="en-US" w:eastAsia="zh-CN" w:bidi="ar-SA"/>
              </w:rPr>
              <w:t>g/m</w:t>
            </w:r>
            <w:r>
              <w:rPr>
                <w:rFonts w:hint="default" w:ascii="Times New Roman" w:hAnsi="Times New Roman" w:eastAsia="宋体" w:cs="Times New Roman"/>
                <w:color w:val="auto"/>
                <w:kern w:val="2"/>
                <w:sz w:val="21"/>
                <w:szCs w:val="24"/>
                <w:highlight w:val="none"/>
                <w:vertAlign w:val="superscript"/>
                <w:lang w:val="en-US" w:eastAsia="zh-CN" w:bidi="ar-SA"/>
              </w:rPr>
              <w:t>3</w:t>
            </w:r>
            <w:r>
              <w:rPr>
                <w:rFonts w:hint="default" w:ascii="Times New Roman" w:hAnsi="Times New Roman" w:eastAsia="宋体" w:cs="Times New Roman"/>
                <w:color w:val="auto"/>
                <w:kern w:val="2"/>
                <w:sz w:val="21"/>
                <w:szCs w:val="24"/>
                <w:highlight w:val="none"/>
                <w:lang w:val="en-US" w:eastAsia="zh-CN" w:bidi="ar-SA"/>
              </w:rPr>
              <w:t>）</w:t>
            </w:r>
          </w:p>
          <w:p w14:paraId="7F94F02B">
            <w:pPr>
              <w:pStyle w:val="247"/>
              <w:keepNext w:val="0"/>
              <w:keepLines w:val="0"/>
              <w:suppressLineNumbers w:val="0"/>
              <w:spacing w:before="0" w:beforeLines="0" w:beforeAutospacing="0" w:after="0" w:afterLines="0" w:afterAutospacing="0" w:line="440" w:lineRule="exact"/>
              <w:ind w:left="0" w:right="0" w:firstLine="0" w:firstLineChars="0"/>
              <w:contextualSpacing/>
              <w:jc w:val="center"/>
              <w:textAlignment w:val="baseline"/>
              <w:rPr>
                <w:rFonts w:hint="default" w:ascii="Times New Roman" w:hAnsi="Times New Roman" w:eastAsia="宋体"/>
                <w:b/>
                <w:color w:val="auto"/>
                <w:sz w:val="21"/>
                <w:szCs w:val="21"/>
              </w:rPr>
            </w:pPr>
            <w:r>
              <w:rPr>
                <w:rFonts w:hint="default" w:ascii="Times New Roman" w:hAnsi="Times New Roman" w:eastAsia="宋体"/>
                <w:b/>
                <w:color w:val="auto"/>
                <w:sz w:val="21"/>
                <w:szCs w:val="21"/>
              </w:rPr>
              <w:t>表3-</w:t>
            </w:r>
            <w:r>
              <w:rPr>
                <w:rFonts w:hint="eastAsia"/>
                <w:b/>
                <w:color w:val="auto"/>
                <w:sz w:val="21"/>
                <w:szCs w:val="21"/>
                <w:lang w:val="en-US" w:eastAsia="zh-CN"/>
              </w:rPr>
              <w:t>1</w:t>
            </w:r>
            <w:r>
              <w:rPr>
                <w:rFonts w:hint="eastAsia" w:ascii="Times New Roman" w:hAnsi="Times New Roman" w:eastAsia="宋体"/>
                <w:b/>
                <w:color w:val="auto"/>
                <w:sz w:val="21"/>
                <w:szCs w:val="21"/>
              </w:rPr>
              <w:t xml:space="preserve">  </w:t>
            </w:r>
            <w:r>
              <w:rPr>
                <w:rFonts w:hint="default" w:ascii="Times New Roman" w:hAnsi="Times New Roman" w:eastAsia="宋体"/>
                <w:b/>
                <w:color w:val="auto"/>
                <w:sz w:val="21"/>
                <w:szCs w:val="21"/>
              </w:rPr>
              <w:t>其他污染物补充监测点基本信息</w:t>
            </w:r>
          </w:p>
          <w:tbl>
            <w:tblPr>
              <w:tblStyle w:val="42"/>
              <w:tblW w:w="495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230"/>
              <w:gridCol w:w="1708"/>
              <w:gridCol w:w="2310"/>
              <w:gridCol w:w="1005"/>
              <w:gridCol w:w="2039"/>
            </w:tblGrid>
            <w:tr w14:paraId="641EDE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7" w:hRule="atLeast"/>
              </w:trPr>
              <w:tc>
                <w:tcPr>
                  <w:tcW w:w="741" w:type="pct"/>
                  <w:vMerge w:val="restart"/>
                  <w:tcBorders>
                    <w:tl2br w:val="nil"/>
                    <w:tr2bl w:val="nil"/>
                  </w:tcBorders>
                  <w:vAlign w:val="center"/>
                </w:tcPr>
                <w:p w14:paraId="25C0BC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监测点</w:t>
                  </w:r>
                </w:p>
                <w:p w14:paraId="633CD7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名称</w:t>
                  </w:r>
                </w:p>
              </w:tc>
              <w:tc>
                <w:tcPr>
                  <w:tcW w:w="1029" w:type="pct"/>
                  <w:vMerge w:val="restart"/>
                  <w:tcBorders>
                    <w:tl2br w:val="nil"/>
                    <w:tr2bl w:val="nil"/>
                  </w:tcBorders>
                  <w:vAlign w:val="center"/>
                </w:tcPr>
                <w:p w14:paraId="50A8BF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b w:val="0"/>
                      <w:bCs w:val="0"/>
                      <w:color w:val="auto"/>
                      <w:kern w:val="0"/>
                      <w:sz w:val="21"/>
                      <w:szCs w:val="21"/>
                    </w:rPr>
                  </w:pPr>
                  <w:r>
                    <w:rPr>
                      <w:rFonts w:hint="default" w:ascii="Times New Roman" w:hAnsi="Times New Roman" w:eastAsia="宋体"/>
                      <w:b w:val="0"/>
                      <w:bCs w:val="0"/>
                      <w:color w:val="auto"/>
                      <w:kern w:val="0"/>
                      <w:sz w:val="21"/>
                      <w:szCs w:val="21"/>
                    </w:rPr>
                    <w:t>监测</w:t>
                  </w:r>
                </w:p>
                <w:p w14:paraId="66B0BD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b w:val="0"/>
                      <w:bCs w:val="0"/>
                      <w:color w:val="auto"/>
                      <w:kern w:val="0"/>
                      <w:sz w:val="21"/>
                      <w:szCs w:val="21"/>
                    </w:rPr>
                  </w:pPr>
                  <w:r>
                    <w:rPr>
                      <w:rFonts w:hint="default" w:ascii="Times New Roman" w:hAnsi="Times New Roman" w:eastAsia="宋体"/>
                      <w:b w:val="0"/>
                      <w:bCs w:val="0"/>
                      <w:color w:val="auto"/>
                      <w:kern w:val="0"/>
                      <w:sz w:val="21"/>
                      <w:szCs w:val="21"/>
                    </w:rPr>
                    <w:t>因子</w:t>
                  </w:r>
                </w:p>
              </w:tc>
              <w:tc>
                <w:tcPr>
                  <w:tcW w:w="1392" w:type="pct"/>
                  <w:vMerge w:val="restart"/>
                  <w:tcBorders>
                    <w:tl2br w:val="nil"/>
                    <w:tr2bl w:val="nil"/>
                  </w:tcBorders>
                  <w:vAlign w:val="center"/>
                </w:tcPr>
                <w:p w14:paraId="32D07A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监测时段</w:t>
                  </w:r>
                </w:p>
              </w:tc>
              <w:tc>
                <w:tcPr>
                  <w:tcW w:w="606" w:type="pct"/>
                  <w:vMerge w:val="restart"/>
                  <w:tcBorders>
                    <w:tl2br w:val="nil"/>
                    <w:tr2bl w:val="nil"/>
                  </w:tcBorders>
                  <w:vAlign w:val="center"/>
                </w:tcPr>
                <w:p w14:paraId="6DFCAB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相对厂址方位</w:t>
                  </w:r>
                </w:p>
              </w:tc>
              <w:tc>
                <w:tcPr>
                  <w:tcW w:w="1229" w:type="pct"/>
                  <w:vMerge w:val="restart"/>
                  <w:tcBorders>
                    <w:tl2br w:val="nil"/>
                    <w:tr2bl w:val="nil"/>
                  </w:tcBorders>
                  <w:vAlign w:val="center"/>
                </w:tcPr>
                <w:p w14:paraId="796772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相对厂界距离/m</w:t>
                  </w:r>
                </w:p>
              </w:tc>
            </w:tr>
            <w:tr w14:paraId="1EF273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741" w:type="pct"/>
                  <w:vMerge w:val="continue"/>
                  <w:tcBorders>
                    <w:tl2br w:val="nil"/>
                    <w:tr2bl w:val="nil"/>
                  </w:tcBorders>
                  <w:vAlign w:val="center"/>
                </w:tcPr>
                <w:p w14:paraId="4060C4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rPr>
                  </w:pPr>
                </w:p>
              </w:tc>
              <w:tc>
                <w:tcPr>
                  <w:tcW w:w="1029" w:type="pct"/>
                  <w:vMerge w:val="continue"/>
                  <w:tcBorders>
                    <w:tl2br w:val="nil"/>
                    <w:tr2bl w:val="nil"/>
                  </w:tcBorders>
                  <w:vAlign w:val="center"/>
                </w:tcPr>
                <w:p w14:paraId="38845B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rPr>
                  </w:pPr>
                </w:p>
              </w:tc>
              <w:tc>
                <w:tcPr>
                  <w:tcW w:w="1392" w:type="pct"/>
                  <w:vMerge w:val="continue"/>
                  <w:tcBorders>
                    <w:tl2br w:val="nil"/>
                    <w:tr2bl w:val="nil"/>
                  </w:tcBorders>
                  <w:vAlign w:val="center"/>
                </w:tcPr>
                <w:p w14:paraId="1FD771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rPr>
                  </w:pPr>
                </w:p>
              </w:tc>
              <w:tc>
                <w:tcPr>
                  <w:tcW w:w="606" w:type="pct"/>
                  <w:vMerge w:val="continue"/>
                  <w:tcBorders>
                    <w:tl2br w:val="nil"/>
                    <w:tr2bl w:val="nil"/>
                  </w:tcBorders>
                  <w:vAlign w:val="center"/>
                </w:tcPr>
                <w:p w14:paraId="630D93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rPr>
                  </w:pPr>
                </w:p>
              </w:tc>
              <w:tc>
                <w:tcPr>
                  <w:tcW w:w="1229" w:type="pct"/>
                  <w:vMerge w:val="continue"/>
                  <w:tcBorders>
                    <w:tl2br w:val="nil"/>
                    <w:tr2bl w:val="nil"/>
                  </w:tcBorders>
                  <w:vAlign w:val="center"/>
                </w:tcPr>
                <w:p w14:paraId="78AF6B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rPr>
                  </w:pPr>
                </w:p>
              </w:tc>
            </w:tr>
            <w:tr w14:paraId="07C4D2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c>
                <w:tcPr>
                  <w:tcW w:w="741" w:type="pct"/>
                  <w:tcBorders>
                    <w:tl2br w:val="nil"/>
                    <w:tr2bl w:val="nil"/>
                  </w:tcBorders>
                  <w:vAlign w:val="center"/>
                </w:tcPr>
                <w:p w14:paraId="08ACFF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kern w:val="0"/>
                      <w:sz w:val="21"/>
                      <w:szCs w:val="21"/>
                    </w:rPr>
                  </w:pPr>
                  <w:r>
                    <w:rPr>
                      <w:rFonts w:hint="default" w:ascii="Times New Roman" w:hAnsi="Times New Roman" w:eastAsia="宋体"/>
                      <w:color w:val="auto"/>
                      <w:kern w:val="0"/>
                      <w:sz w:val="21"/>
                      <w:szCs w:val="21"/>
                    </w:rPr>
                    <w:t>下风向</w:t>
                  </w:r>
                  <w:r>
                    <w:rPr>
                      <w:rFonts w:hint="eastAsia" w:ascii="Times New Roman" w:hAnsi="Times New Roman" w:eastAsia="宋体" w:cs="宋体"/>
                      <w:color w:val="auto"/>
                      <w:kern w:val="0"/>
                      <w:sz w:val="21"/>
                      <w:szCs w:val="21"/>
                    </w:rPr>
                    <w:t>〇</w:t>
                  </w:r>
                  <w:r>
                    <w:rPr>
                      <w:rFonts w:hint="default" w:ascii="Times New Roman" w:hAnsi="Times New Roman" w:eastAsia="宋体"/>
                      <w:bCs/>
                      <w:color w:val="auto"/>
                      <w:sz w:val="21"/>
                      <w:szCs w:val="21"/>
                    </w:rPr>
                    <w:t>1</w:t>
                  </w:r>
                </w:p>
              </w:tc>
              <w:tc>
                <w:tcPr>
                  <w:tcW w:w="1029" w:type="pct"/>
                  <w:tcBorders>
                    <w:tl2br w:val="nil"/>
                    <w:tr2bl w:val="nil"/>
                  </w:tcBorders>
                  <w:vAlign w:val="center"/>
                </w:tcPr>
                <w:p w14:paraId="7917D5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color w:val="auto"/>
                      <w:kern w:val="0"/>
                      <w:sz w:val="21"/>
                      <w:szCs w:val="21"/>
                    </w:rPr>
                    <w:t>TSP</w:t>
                  </w:r>
                  <w:r>
                    <w:rPr>
                      <w:rFonts w:hint="eastAsia" w:ascii="Times New Roman" w:hAnsi="Times New Roman" w:eastAsia="宋体"/>
                      <w:color w:val="auto"/>
                      <w:kern w:val="0"/>
                      <w:sz w:val="21"/>
                      <w:szCs w:val="21"/>
                      <w:lang w:eastAsia="zh-CN"/>
                    </w:rPr>
                    <w:t>，</w:t>
                  </w:r>
                  <w:r>
                    <w:rPr>
                      <w:rFonts w:hint="eastAsia" w:ascii="Times New Roman" w:hAnsi="Times New Roman" w:eastAsia="宋体"/>
                      <w:color w:val="auto"/>
                      <w:kern w:val="0"/>
                      <w:sz w:val="21"/>
                      <w:szCs w:val="21"/>
                      <w:lang w:val="en-US" w:eastAsia="zh-CN"/>
                    </w:rPr>
                    <w:t>氮氧化物</w:t>
                  </w:r>
                </w:p>
              </w:tc>
              <w:tc>
                <w:tcPr>
                  <w:tcW w:w="1392" w:type="pct"/>
                  <w:tcBorders>
                    <w:tl2br w:val="nil"/>
                    <w:tr2bl w:val="nil"/>
                  </w:tcBorders>
                  <w:vAlign w:val="center"/>
                </w:tcPr>
                <w:p w14:paraId="080FAD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lang w:val="en-US" w:eastAsia="zh-CN"/>
                    </w:rPr>
                  </w:pPr>
                  <w:r>
                    <w:rPr>
                      <w:rFonts w:hint="default" w:ascii="Times New Roman" w:hAnsi="Times New Roman" w:eastAsia="宋体"/>
                      <w:bCs/>
                      <w:color w:val="auto"/>
                      <w:sz w:val="21"/>
                      <w:szCs w:val="21"/>
                    </w:rPr>
                    <w:t>202</w:t>
                  </w:r>
                  <w:r>
                    <w:rPr>
                      <w:rFonts w:hint="eastAsia" w:ascii="Times New Roman" w:hAnsi="Times New Roman" w:eastAsia="宋体"/>
                      <w:bCs/>
                      <w:color w:val="auto"/>
                      <w:sz w:val="21"/>
                      <w:szCs w:val="21"/>
                      <w:lang w:val="en-US" w:eastAsia="zh-CN"/>
                    </w:rPr>
                    <w:t>5</w:t>
                  </w:r>
                  <w:r>
                    <w:rPr>
                      <w:rFonts w:hint="eastAsia" w:ascii="Times New Roman" w:hAnsi="Times New Roman" w:eastAsia="宋体"/>
                      <w:bCs/>
                      <w:color w:val="auto"/>
                      <w:sz w:val="21"/>
                      <w:szCs w:val="21"/>
                    </w:rPr>
                    <w:t>.</w:t>
                  </w:r>
                  <w:r>
                    <w:rPr>
                      <w:rFonts w:hint="eastAsia" w:ascii="Times New Roman" w:hAnsi="Times New Roman" w:eastAsia="宋体"/>
                      <w:bCs/>
                      <w:color w:val="auto"/>
                      <w:sz w:val="21"/>
                      <w:szCs w:val="21"/>
                      <w:lang w:val="en-US" w:eastAsia="zh-CN"/>
                    </w:rPr>
                    <w:t>10.24</w:t>
                  </w:r>
                  <w:r>
                    <w:rPr>
                      <w:rFonts w:hint="default" w:ascii="Times New Roman" w:hAnsi="Times New Roman" w:eastAsia="宋体"/>
                      <w:bCs/>
                      <w:color w:val="auto"/>
                      <w:sz w:val="21"/>
                      <w:szCs w:val="21"/>
                    </w:rPr>
                    <w:t>-202</w:t>
                  </w:r>
                  <w:r>
                    <w:rPr>
                      <w:rFonts w:hint="eastAsia" w:ascii="Times New Roman" w:hAnsi="Times New Roman" w:eastAsia="宋体"/>
                      <w:bCs/>
                      <w:color w:val="auto"/>
                      <w:sz w:val="21"/>
                      <w:szCs w:val="21"/>
                      <w:lang w:val="en-US" w:eastAsia="zh-CN"/>
                    </w:rPr>
                    <w:t>5</w:t>
                  </w:r>
                  <w:r>
                    <w:rPr>
                      <w:rFonts w:hint="eastAsia" w:ascii="Times New Roman" w:hAnsi="Times New Roman" w:eastAsia="宋体"/>
                      <w:bCs/>
                      <w:color w:val="auto"/>
                      <w:sz w:val="21"/>
                      <w:szCs w:val="21"/>
                    </w:rPr>
                    <w:t>.</w:t>
                  </w:r>
                  <w:r>
                    <w:rPr>
                      <w:rFonts w:hint="eastAsia" w:ascii="Times New Roman" w:hAnsi="Times New Roman" w:eastAsia="宋体"/>
                      <w:bCs/>
                      <w:color w:val="auto"/>
                      <w:sz w:val="21"/>
                      <w:szCs w:val="21"/>
                      <w:lang w:val="en-US" w:eastAsia="zh-CN"/>
                    </w:rPr>
                    <w:t>10.2</w:t>
                  </w:r>
                  <w:r>
                    <w:rPr>
                      <w:rFonts w:hint="eastAsia"/>
                      <w:bCs/>
                      <w:color w:val="auto"/>
                      <w:sz w:val="21"/>
                      <w:szCs w:val="21"/>
                      <w:lang w:val="en-US" w:eastAsia="zh-CN"/>
                    </w:rPr>
                    <w:t>6</w:t>
                  </w:r>
                </w:p>
              </w:tc>
              <w:tc>
                <w:tcPr>
                  <w:tcW w:w="606" w:type="pct"/>
                  <w:tcBorders>
                    <w:tl2br w:val="nil"/>
                    <w:tr2bl w:val="nil"/>
                  </w:tcBorders>
                  <w:vAlign w:val="center"/>
                </w:tcPr>
                <w:p w14:paraId="3BB788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val="en-US" w:eastAsia="zh-CN"/>
                    </w:rPr>
                    <w:t>E</w:t>
                  </w:r>
                </w:p>
              </w:tc>
              <w:tc>
                <w:tcPr>
                  <w:tcW w:w="1229" w:type="pct"/>
                  <w:tcBorders>
                    <w:tl2br w:val="nil"/>
                    <w:tr2bl w:val="nil"/>
                  </w:tcBorders>
                  <w:vAlign w:val="center"/>
                </w:tcPr>
                <w:p w14:paraId="59239B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约20</w:t>
                  </w:r>
                </w:p>
              </w:tc>
            </w:tr>
          </w:tbl>
          <w:p w14:paraId="7E36A187">
            <w:pPr>
              <w:numPr>
                <w:ilvl w:val="0"/>
                <w:numId w:val="0"/>
              </w:numPr>
              <w:spacing w:line="360" w:lineRule="auto"/>
              <w:ind w:firstLine="422" w:firstLineChars="200"/>
              <w:rPr>
                <w:rFonts w:hint="default" w:ascii="Times New Roman" w:hAnsi="Times New Roman" w:eastAsia="宋体" w:cs="Times New Roman"/>
                <w:b/>
                <w:color w:val="auto"/>
                <w:kern w:val="2"/>
                <w:sz w:val="21"/>
                <w:szCs w:val="24"/>
                <w:highlight w:val="yellow"/>
                <w:lang w:val="en-US" w:eastAsia="zh-CN" w:bidi="ar-SA"/>
              </w:rPr>
            </w:pPr>
          </w:p>
          <w:p w14:paraId="5D41726A">
            <w:pPr>
              <w:numPr>
                <w:ilvl w:val="0"/>
                <w:numId w:val="0"/>
              </w:numPr>
              <w:spacing w:line="360" w:lineRule="auto"/>
              <w:jc w:val="center"/>
              <w:rPr>
                <w:color w:val="auto"/>
              </w:rPr>
            </w:pPr>
          </w:p>
          <w:p w14:paraId="7F71EB62">
            <w:pPr>
              <w:numPr>
                <w:ilvl w:val="0"/>
                <w:numId w:val="0"/>
              </w:numPr>
              <w:spacing w:line="360" w:lineRule="auto"/>
              <w:jc w:val="center"/>
              <w:rPr>
                <w:color w:val="auto"/>
              </w:rPr>
            </w:pPr>
          </w:p>
          <w:p w14:paraId="08273A64">
            <w:pPr>
              <w:numPr>
                <w:ilvl w:val="0"/>
                <w:numId w:val="0"/>
              </w:numPr>
              <w:spacing w:line="360" w:lineRule="auto"/>
              <w:jc w:val="center"/>
              <w:rPr>
                <w:color w:val="auto"/>
              </w:rPr>
            </w:pPr>
          </w:p>
          <w:p w14:paraId="45C8D8ED">
            <w:pPr>
              <w:numPr>
                <w:ilvl w:val="0"/>
                <w:numId w:val="0"/>
              </w:numPr>
              <w:spacing w:line="360" w:lineRule="auto"/>
              <w:jc w:val="center"/>
              <w:rPr>
                <w:color w:val="auto"/>
              </w:rPr>
            </w:pPr>
          </w:p>
          <w:p w14:paraId="4F64D804">
            <w:pPr>
              <w:numPr>
                <w:ilvl w:val="0"/>
                <w:numId w:val="0"/>
              </w:numPr>
              <w:spacing w:line="360" w:lineRule="auto"/>
              <w:jc w:val="center"/>
              <w:rPr>
                <w:color w:val="auto"/>
              </w:rPr>
            </w:pPr>
          </w:p>
          <w:p w14:paraId="6E64D125">
            <w:pPr>
              <w:numPr>
                <w:ilvl w:val="0"/>
                <w:numId w:val="0"/>
              </w:numPr>
              <w:spacing w:line="360" w:lineRule="auto"/>
              <w:jc w:val="center"/>
              <w:rPr>
                <w:color w:val="auto"/>
              </w:rPr>
            </w:pPr>
          </w:p>
          <w:p w14:paraId="63855438">
            <w:pPr>
              <w:numPr>
                <w:ilvl w:val="0"/>
                <w:numId w:val="0"/>
              </w:numPr>
              <w:spacing w:line="360" w:lineRule="auto"/>
              <w:jc w:val="center"/>
              <w:rPr>
                <w:color w:val="auto"/>
              </w:rPr>
            </w:pPr>
          </w:p>
          <w:p w14:paraId="60BFF7C5">
            <w:pPr>
              <w:numPr>
                <w:ilvl w:val="0"/>
                <w:numId w:val="0"/>
              </w:numPr>
              <w:spacing w:line="360" w:lineRule="auto"/>
              <w:jc w:val="center"/>
              <w:rPr>
                <w:color w:val="auto"/>
              </w:rPr>
            </w:pPr>
            <w:r>
              <w:rPr>
                <w:color w:val="auto"/>
              </w:rPr>
              <w:drawing>
                <wp:inline distT="0" distB="0" distL="114300" distR="114300">
                  <wp:extent cx="4958715" cy="3099435"/>
                  <wp:effectExtent l="9525" t="9525" r="22860" b="15240"/>
                  <wp:docPr id="6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3"/>
                          <pic:cNvPicPr>
                            <a:picLocks noChangeAspect="1"/>
                          </pic:cNvPicPr>
                        </pic:nvPicPr>
                        <pic:blipFill>
                          <a:blip r:embed="rId31"/>
                          <a:stretch>
                            <a:fillRect/>
                          </a:stretch>
                        </pic:blipFill>
                        <pic:spPr>
                          <a:xfrm>
                            <a:off x="0" y="0"/>
                            <a:ext cx="4958715" cy="3099435"/>
                          </a:xfrm>
                          <a:prstGeom prst="rect">
                            <a:avLst/>
                          </a:prstGeom>
                          <a:noFill/>
                          <a:ln w="6350">
                            <a:solidFill>
                              <a:schemeClr val="tx1"/>
                            </a:solidFill>
                          </a:ln>
                        </pic:spPr>
                      </pic:pic>
                    </a:graphicData>
                  </a:graphic>
                </wp:inline>
              </w:drawing>
            </w:r>
          </w:p>
          <w:p w14:paraId="7282F6C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val="0"/>
                <w:color w:val="auto"/>
                <w:kern w:val="18"/>
                <w:sz w:val="21"/>
                <w:szCs w:val="21"/>
                <w:highlight w:val="none"/>
                <w:lang w:val="en-US" w:eastAsia="zh-CN"/>
              </w:rPr>
            </w:pPr>
            <w:r>
              <w:rPr>
                <w:rFonts w:hint="default" w:ascii="Times New Roman" w:hAnsi="Times New Roman" w:eastAsia="宋体" w:cs="宋体"/>
                <w:b/>
                <w:bCs w:val="0"/>
                <w:color w:val="auto"/>
                <w:kern w:val="18"/>
                <w:sz w:val="21"/>
                <w:szCs w:val="21"/>
                <w:highlight w:val="none"/>
                <w:lang w:val="en-US" w:eastAsia="zh-CN"/>
              </w:rPr>
              <w:t xml:space="preserve">图3-1 </w:t>
            </w:r>
            <w:r>
              <w:rPr>
                <w:rFonts w:hint="eastAsia" w:cs="宋体"/>
                <w:b/>
                <w:bCs w:val="0"/>
                <w:color w:val="auto"/>
                <w:kern w:val="18"/>
                <w:sz w:val="21"/>
                <w:szCs w:val="21"/>
                <w:highlight w:val="none"/>
                <w:lang w:val="en-US" w:eastAsia="zh-CN"/>
              </w:rPr>
              <w:t>本</w:t>
            </w:r>
            <w:r>
              <w:rPr>
                <w:rFonts w:hint="default" w:ascii="Times New Roman" w:hAnsi="Times New Roman" w:eastAsia="宋体" w:cs="宋体"/>
                <w:b/>
                <w:bCs w:val="0"/>
                <w:color w:val="auto"/>
                <w:kern w:val="18"/>
                <w:sz w:val="21"/>
                <w:szCs w:val="21"/>
                <w:highlight w:val="none"/>
                <w:lang w:val="en-US" w:eastAsia="zh-CN"/>
              </w:rPr>
              <w:t>项目检测点与本项目位置关系图</w:t>
            </w:r>
          </w:p>
          <w:p w14:paraId="72190888">
            <w:pPr>
              <w:numPr>
                <w:ilvl w:val="0"/>
                <w:numId w:val="0"/>
              </w:numPr>
              <w:spacing w:line="360" w:lineRule="auto"/>
              <w:ind w:firstLine="422" w:firstLineChars="200"/>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kern w:val="2"/>
                <w:sz w:val="21"/>
                <w:szCs w:val="24"/>
                <w:highlight w:val="none"/>
                <w:lang w:val="en-US" w:eastAsia="zh-CN" w:bidi="ar-SA"/>
              </w:rPr>
              <w:t>2、</w:t>
            </w:r>
            <w:r>
              <w:rPr>
                <w:rFonts w:hint="default" w:ascii="Times New Roman" w:hAnsi="Times New Roman" w:eastAsia="宋体" w:cs="Times New Roman"/>
                <w:b/>
                <w:color w:val="auto"/>
                <w:sz w:val="21"/>
                <w:highlight w:val="none"/>
              </w:rPr>
              <w:t>水环境</w:t>
            </w:r>
          </w:p>
          <w:p w14:paraId="12C5C579">
            <w:pPr>
              <w:adjustRightInd w:val="0"/>
              <w:snapToGrid w:val="0"/>
              <w:spacing w:line="360" w:lineRule="auto"/>
              <w:ind w:firstLine="420" w:firstLineChars="200"/>
              <w:jc w:val="both"/>
              <w:outlineLvl w:val="9"/>
              <w:rPr>
                <w:rFonts w:hint="default" w:ascii="Times New Roman" w:hAnsi="Times New Roman" w:eastAsia="宋体" w:cs="Times New Roman"/>
                <w:color w:val="auto"/>
                <w:sz w:val="21"/>
                <w:highlight w:val="none"/>
                <w:lang w:val="en-GB"/>
              </w:rPr>
            </w:pPr>
            <w:r>
              <w:rPr>
                <w:rFonts w:hint="default" w:ascii="Times New Roman" w:hAnsi="Times New Roman" w:eastAsia="宋体" w:cs="Times New Roman"/>
                <w:color w:val="auto"/>
                <w:sz w:val="21"/>
                <w:highlight w:val="none"/>
                <w:lang w:val="en-GB"/>
              </w:rPr>
              <w:t>本项目所在地纳污水体为呼兰河，根据《全国重要江河湖泊水功能区划(2011-2030年)》，本项目位于</w:t>
            </w:r>
            <w:r>
              <w:rPr>
                <w:rFonts w:hint="eastAsia" w:ascii="Times New Roman" w:hAnsi="Times New Roman" w:eastAsia="宋体" w:cs="Times New Roman"/>
                <w:color w:val="auto"/>
                <w:sz w:val="21"/>
                <w:highlight w:val="none"/>
                <w:lang w:val="en-US" w:eastAsia="zh-CN"/>
              </w:rPr>
              <w:t>神树镇</w:t>
            </w:r>
            <w:r>
              <w:rPr>
                <w:rFonts w:hint="default" w:ascii="Times New Roman" w:hAnsi="Times New Roman" w:eastAsia="宋体" w:cs="Times New Roman"/>
                <w:color w:val="auto"/>
                <w:sz w:val="21"/>
                <w:highlight w:val="none"/>
                <w:lang w:val="en-GB"/>
              </w:rPr>
              <w:t>至</w:t>
            </w:r>
            <w:r>
              <w:rPr>
                <w:rFonts w:hint="eastAsia" w:ascii="Times New Roman" w:hAnsi="Times New Roman" w:eastAsia="宋体" w:cs="Times New Roman"/>
                <w:color w:val="auto"/>
                <w:sz w:val="21"/>
                <w:highlight w:val="none"/>
                <w:lang w:val="en-US" w:eastAsia="zh-CN"/>
              </w:rPr>
              <w:t>绥胜排干汇入口河段</w:t>
            </w:r>
            <w:r>
              <w:rPr>
                <w:rFonts w:hint="default" w:ascii="Times New Roman" w:hAnsi="Times New Roman" w:eastAsia="宋体" w:cs="Times New Roman"/>
                <w:color w:val="auto"/>
                <w:sz w:val="21"/>
                <w:highlight w:val="none"/>
                <w:lang w:val="en-GB"/>
              </w:rPr>
              <w:t>，水质目标为</w:t>
            </w:r>
            <w:r>
              <w:rPr>
                <w:rFonts w:hint="default" w:ascii="Times New Roman" w:hAnsi="Times New Roman" w:cs="Times New Roman" w:eastAsiaTheme="minorEastAsia"/>
                <w:bCs/>
                <w:color w:val="auto"/>
                <w:sz w:val="21"/>
                <w:szCs w:val="21"/>
              </w:rPr>
              <w:t>Ⅲ</w:t>
            </w:r>
            <w:r>
              <w:rPr>
                <w:rFonts w:hint="eastAsia" w:ascii="Times New Roman" w:hAnsi="Times New Roman" w:eastAsia="宋体" w:cs="微软雅黑"/>
                <w:color w:val="auto"/>
                <w:sz w:val="21"/>
                <w:highlight w:val="none"/>
                <w:lang w:val="en-US" w:eastAsia="zh-CN"/>
              </w:rPr>
              <w:t>～</w:t>
            </w:r>
            <w:r>
              <w:rPr>
                <w:rFonts w:hint="default" w:ascii="Times New Roman" w:hAnsi="Times New Roman" w:eastAsia="宋体" w:cs="Times New Roman"/>
                <w:color w:val="auto"/>
                <w:sz w:val="21"/>
                <w:highlight w:val="none"/>
                <w:lang w:val="en-US" w:eastAsia="zh-CN"/>
              </w:rPr>
              <w:t>Ⅳ</w:t>
            </w:r>
            <w:r>
              <w:rPr>
                <w:rFonts w:hint="default" w:ascii="Times New Roman" w:hAnsi="Times New Roman" w:eastAsia="宋体" w:cs="Times New Roman"/>
                <w:color w:val="auto"/>
                <w:sz w:val="21"/>
                <w:highlight w:val="none"/>
                <w:lang w:val="en-GB"/>
              </w:rPr>
              <w:t>类，</w:t>
            </w:r>
            <w:r>
              <w:rPr>
                <w:rFonts w:hint="eastAsia" w:ascii="Times New Roman" w:hAnsi="Times New Roman" w:eastAsia="宋体" w:cs="Times New Roman"/>
                <w:color w:val="auto"/>
                <w:sz w:val="21"/>
                <w:highlight w:val="none"/>
                <w:lang w:val="en-US" w:eastAsia="zh-CN"/>
              </w:rPr>
              <w:t>双河渠首</w:t>
            </w:r>
            <w:r>
              <w:rPr>
                <w:rFonts w:hint="default" w:ascii="Times New Roman" w:hAnsi="Times New Roman" w:eastAsia="宋体" w:cs="Times New Roman"/>
                <w:color w:val="auto"/>
                <w:sz w:val="21"/>
                <w:highlight w:val="none"/>
                <w:lang w:val="en-GB"/>
              </w:rPr>
              <w:t>断面</w:t>
            </w:r>
            <w:r>
              <w:rPr>
                <w:rFonts w:hint="eastAsia"/>
                <w:color w:val="auto"/>
                <w:lang w:val="en-US" w:eastAsia="zh-CN"/>
              </w:rPr>
              <w:t>位于该河段中，且位于本项目下游</w:t>
            </w:r>
            <w:r>
              <w:rPr>
                <w:rFonts w:hint="default" w:ascii="Times New Roman" w:hAnsi="Times New Roman" w:eastAsia="宋体" w:cs="Times New Roman"/>
                <w:color w:val="auto"/>
                <w:sz w:val="21"/>
                <w:highlight w:val="none"/>
                <w:lang w:val="en-GB"/>
              </w:rPr>
              <w:t>。根据《</w:t>
            </w:r>
            <w:r>
              <w:rPr>
                <w:rFonts w:hint="eastAsia" w:ascii="Times New Roman" w:hAnsi="Times New Roman" w:eastAsia="宋体" w:cs="Times New Roman"/>
                <w:color w:val="auto"/>
                <w:sz w:val="21"/>
                <w:highlight w:val="none"/>
                <w:lang w:val="en-US" w:eastAsia="zh-CN"/>
              </w:rPr>
              <w:t>2024</w:t>
            </w:r>
            <w:r>
              <w:rPr>
                <w:rFonts w:hint="default" w:ascii="Times New Roman" w:hAnsi="Times New Roman" w:eastAsia="宋体" w:cs="Times New Roman"/>
                <w:color w:val="auto"/>
                <w:sz w:val="21"/>
                <w:highlight w:val="none"/>
                <w:lang w:val="en-GB"/>
              </w:rPr>
              <w:t>年</w:t>
            </w:r>
            <w:r>
              <w:rPr>
                <w:rFonts w:hint="eastAsia" w:ascii="Times New Roman" w:hAnsi="Times New Roman" w:eastAsia="宋体" w:cs="Times New Roman"/>
                <w:color w:val="auto"/>
                <w:sz w:val="21"/>
                <w:highlight w:val="none"/>
                <w:lang w:val="en-US" w:eastAsia="zh-CN"/>
              </w:rPr>
              <w:t>伊春市</w:t>
            </w:r>
            <w:r>
              <w:rPr>
                <w:rFonts w:hint="default" w:ascii="Times New Roman" w:hAnsi="Times New Roman" w:eastAsia="宋体" w:cs="Times New Roman"/>
                <w:color w:val="auto"/>
                <w:sz w:val="21"/>
                <w:highlight w:val="none"/>
                <w:lang w:val="en-GB"/>
              </w:rPr>
              <w:t>生态环境质量</w:t>
            </w:r>
            <w:r>
              <w:rPr>
                <w:rFonts w:hint="eastAsia" w:ascii="Times New Roman" w:hAnsi="Times New Roman" w:eastAsia="宋体" w:cs="Times New Roman"/>
                <w:color w:val="auto"/>
                <w:sz w:val="21"/>
                <w:highlight w:val="none"/>
                <w:lang w:val="en-US" w:eastAsia="zh-CN"/>
              </w:rPr>
              <w:t>公</w:t>
            </w:r>
            <w:r>
              <w:rPr>
                <w:rFonts w:hint="default" w:ascii="Times New Roman" w:hAnsi="Times New Roman" w:eastAsia="宋体" w:cs="Times New Roman"/>
                <w:color w:val="auto"/>
                <w:sz w:val="21"/>
                <w:highlight w:val="none"/>
                <w:lang w:val="en-GB"/>
              </w:rPr>
              <w:t>报》，</w:t>
            </w:r>
            <w:r>
              <w:rPr>
                <w:rFonts w:hint="eastAsia" w:ascii="Times New Roman" w:hAnsi="Times New Roman" w:eastAsia="宋体" w:cs="Times New Roman"/>
                <w:color w:val="auto"/>
                <w:sz w:val="21"/>
                <w:highlight w:val="none"/>
                <w:lang w:val="en-US" w:eastAsia="zh-CN"/>
              </w:rPr>
              <w:t>双河渠首</w:t>
            </w:r>
            <w:r>
              <w:rPr>
                <w:rFonts w:hint="default" w:ascii="Times New Roman" w:hAnsi="Times New Roman" w:eastAsia="宋体" w:cs="Times New Roman"/>
                <w:color w:val="auto"/>
                <w:sz w:val="21"/>
                <w:highlight w:val="none"/>
                <w:lang w:val="en-GB"/>
              </w:rPr>
              <w:t>断面现状水体质量满足《地表水环境质量标准》(GB3838-2002)</w:t>
            </w:r>
            <w:r>
              <w:rPr>
                <w:rFonts w:hint="default" w:ascii="Times New Roman" w:hAnsi="Times New Roman" w:cs="Times New Roman" w:eastAsiaTheme="minorEastAsia"/>
                <w:bCs/>
                <w:color w:val="auto"/>
                <w:sz w:val="21"/>
                <w:szCs w:val="21"/>
              </w:rPr>
              <w:t>Ⅲ</w:t>
            </w:r>
            <w:r>
              <w:rPr>
                <w:rFonts w:hint="default" w:ascii="Times New Roman" w:hAnsi="Times New Roman" w:eastAsia="宋体" w:cs="Times New Roman"/>
                <w:color w:val="auto"/>
                <w:sz w:val="21"/>
                <w:highlight w:val="none"/>
                <w:lang w:val="en-GB"/>
              </w:rPr>
              <w:t>类标准要求。</w:t>
            </w:r>
          </w:p>
          <w:p w14:paraId="5278F3EE">
            <w:pPr>
              <w:spacing w:line="360" w:lineRule="auto"/>
              <w:ind w:firstLine="422" w:firstLineChars="200"/>
              <w:rPr>
                <w:rFonts w:hint="default" w:ascii="Times New Roman" w:hAnsi="Times New Roman" w:eastAsia="宋体" w:cs="Times New Roman"/>
                <w:b/>
                <w:bCs/>
                <w:color w:val="auto"/>
                <w:sz w:val="21"/>
                <w:highlight w:val="none"/>
              </w:rPr>
            </w:pPr>
            <w:r>
              <w:rPr>
                <w:rFonts w:hint="default" w:ascii="Times New Roman" w:hAnsi="Times New Roman" w:eastAsia="宋体" w:cs="Times New Roman"/>
                <w:b/>
                <w:bCs/>
                <w:color w:val="auto"/>
                <w:sz w:val="21"/>
                <w:highlight w:val="none"/>
              </w:rPr>
              <w:t>3、声环境</w:t>
            </w:r>
          </w:p>
          <w:p w14:paraId="6BCCABAE">
            <w:pPr>
              <w:widowControl/>
              <w:spacing w:line="360" w:lineRule="auto"/>
              <w:ind w:firstLine="420" w:firstLineChars="200"/>
              <w:rPr>
                <w:rFonts w:hint="default" w:ascii="Times New Roman" w:hAnsi="Times New Roman" w:cs="Times New Roman" w:eastAsiaTheme="minorEastAsia"/>
                <w:b/>
                <w:color w:val="auto"/>
                <w:szCs w:val="21"/>
                <w:highlight w:val="none"/>
              </w:rPr>
            </w:pPr>
            <w:bookmarkStart w:id="26" w:name="_Toc372881651"/>
            <w:bookmarkStart w:id="27" w:name="_Toc370484532"/>
            <w:bookmarkStart w:id="28" w:name="_Toc373331117"/>
            <w:bookmarkStart w:id="29" w:name="_Toc383706643"/>
            <w:bookmarkStart w:id="30" w:name="_Toc368058522"/>
            <w:bookmarkStart w:id="31" w:name="_Toc385497475"/>
            <w:r>
              <w:rPr>
                <w:rFonts w:hint="default" w:ascii="Times New Roman" w:hAnsi="Times New Roman" w:cs="Times New Roman" w:eastAsiaTheme="minorEastAsia"/>
                <w:color w:val="auto"/>
                <w:szCs w:val="21"/>
              </w:rPr>
              <w:t>根据</w:t>
            </w:r>
            <w:r>
              <w:rPr>
                <w:rFonts w:hint="default" w:ascii="Times New Roman" w:hAnsi="Times New Roman" w:cs="Times New Roman"/>
                <w:color w:val="auto"/>
              </w:rPr>
              <w:t>哈尔滨新巨环保科技有限公司</w:t>
            </w:r>
            <w:r>
              <w:rPr>
                <w:rFonts w:hint="default" w:ascii="Times New Roman" w:hAnsi="Times New Roman" w:cs="Times New Roman" w:eastAsiaTheme="minorEastAsia"/>
                <w:color w:val="auto"/>
                <w:szCs w:val="21"/>
              </w:rPr>
              <w:t>对公司厂界外敏感点噪声进行监测可知：厂界敏感点昼间、夜间噪声值满足《声环境质量标准》（GB3096-2008）表1中2类声环境功能区环境噪</w:t>
            </w:r>
            <w:r>
              <w:rPr>
                <w:rFonts w:hint="default" w:ascii="Times New Roman" w:hAnsi="Times New Roman" w:cs="Times New Roman" w:eastAsiaTheme="minorEastAsia"/>
                <w:color w:val="auto"/>
                <w:szCs w:val="21"/>
                <w:highlight w:val="none"/>
              </w:rPr>
              <w:t>声限值。</w:t>
            </w:r>
          </w:p>
          <w:p w14:paraId="38B3E418">
            <w:pPr>
              <w:adjustRightInd w:val="0"/>
              <w:snapToGrid w:val="0"/>
              <w:spacing w:line="360" w:lineRule="auto"/>
              <w:ind w:firstLine="420" w:firstLineChars="200"/>
              <w:jc w:val="left"/>
              <w:outlineLvl w:val="9"/>
              <w:rPr>
                <w:rFonts w:hint="default" w:ascii="Times New Roman" w:hAnsi="Times New Roman" w:eastAsia="宋体" w:cs="Times New Roman"/>
                <w:color w:val="auto"/>
                <w:sz w:val="21"/>
                <w:highlight w:val="none"/>
              </w:rPr>
            </w:pPr>
            <w:r>
              <w:rPr>
                <w:rFonts w:hint="eastAsia" w:cs="Times New Roman"/>
                <w:color w:val="auto"/>
                <w:sz w:val="21"/>
                <w:highlight w:val="none"/>
                <w:lang w:eastAsia="zh-CN"/>
              </w:rPr>
              <w:t>（</w:t>
            </w:r>
            <w:r>
              <w:rPr>
                <w:rFonts w:hint="eastAsia" w:cs="Times New Roman"/>
                <w:color w:val="auto"/>
                <w:sz w:val="21"/>
                <w:highlight w:val="none"/>
                <w:lang w:val="en-US" w:eastAsia="zh-CN"/>
              </w:rPr>
              <w:t>1</w:t>
            </w:r>
            <w:r>
              <w:rPr>
                <w:rFonts w:hint="eastAsia" w:cs="Times New Roman"/>
                <w:color w:val="auto"/>
                <w:sz w:val="21"/>
                <w:highlight w:val="none"/>
                <w:lang w:eastAsia="zh-CN"/>
              </w:rPr>
              <w:t>）</w:t>
            </w:r>
            <w:r>
              <w:rPr>
                <w:rFonts w:hint="default" w:ascii="Times New Roman" w:hAnsi="Times New Roman" w:eastAsia="宋体" w:cs="Times New Roman"/>
                <w:color w:val="auto"/>
                <w:sz w:val="21"/>
                <w:highlight w:val="none"/>
              </w:rPr>
              <w:t>监测点位</w:t>
            </w:r>
            <w:bookmarkEnd w:id="26"/>
            <w:bookmarkEnd w:id="27"/>
            <w:bookmarkEnd w:id="28"/>
            <w:bookmarkEnd w:id="29"/>
            <w:bookmarkEnd w:id="30"/>
            <w:bookmarkEnd w:id="31"/>
          </w:p>
          <w:p w14:paraId="08F0BA62">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outlineLvl w:val="9"/>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color w:val="auto"/>
                <w:sz w:val="21"/>
                <w:highlight w:val="none"/>
              </w:rPr>
              <w:t>根据声环境保护目标所处具体位置，本次评价厂区外共布设</w:t>
            </w:r>
            <w:r>
              <w:rPr>
                <w:rFonts w:hint="eastAsia" w:cs="Times New Roman"/>
                <w:color w:val="auto"/>
                <w:sz w:val="21"/>
                <w:highlight w:val="none"/>
                <w:lang w:val="en-US" w:eastAsia="zh-CN"/>
              </w:rPr>
              <w:t>2</w:t>
            </w:r>
            <w:r>
              <w:rPr>
                <w:rFonts w:hint="default" w:ascii="Times New Roman" w:hAnsi="Times New Roman" w:eastAsia="宋体" w:cs="Times New Roman"/>
                <w:color w:val="auto"/>
                <w:sz w:val="21"/>
                <w:highlight w:val="none"/>
              </w:rPr>
              <w:t>个监测点，具体位置见表3-</w:t>
            </w:r>
            <w:r>
              <w:rPr>
                <w:rFonts w:hint="default" w:ascii="Times New Roman" w:hAnsi="Times New Roman" w:eastAsia="宋体" w:cs="Times New Roman"/>
                <w:color w:val="auto"/>
                <w:sz w:val="21"/>
                <w:highlight w:val="none"/>
                <w:lang w:val="en-US" w:eastAsia="zh-CN"/>
              </w:rPr>
              <w:t>2</w:t>
            </w:r>
            <w:r>
              <w:rPr>
                <w:rFonts w:hint="default" w:ascii="Times New Roman" w:hAnsi="Times New Roman" w:eastAsia="宋体" w:cs="Times New Roman"/>
                <w:color w:val="auto"/>
                <w:sz w:val="21"/>
                <w:highlight w:val="none"/>
              </w:rPr>
              <w:t>和图3-</w:t>
            </w:r>
            <w:r>
              <w:rPr>
                <w:rFonts w:hint="eastAsia" w:cs="Times New Roman"/>
                <w:color w:val="auto"/>
                <w:sz w:val="21"/>
                <w:highlight w:val="none"/>
                <w:lang w:val="en-US" w:eastAsia="zh-CN"/>
              </w:rPr>
              <w:t>2</w:t>
            </w:r>
            <w:r>
              <w:rPr>
                <w:rFonts w:hint="default" w:ascii="Times New Roman" w:hAnsi="Times New Roman" w:eastAsia="宋体" w:cs="Times New Roman"/>
                <w:color w:val="auto"/>
                <w:sz w:val="21"/>
                <w:highlight w:val="none"/>
              </w:rPr>
              <w:t>。</w:t>
            </w:r>
          </w:p>
          <w:p w14:paraId="055392FA">
            <w:pPr>
              <w:adjustRightInd w:val="0"/>
              <w:snapToGrid w:val="0"/>
              <w:spacing w:line="360" w:lineRule="auto"/>
              <w:ind w:firstLine="420" w:firstLineChars="200"/>
              <w:jc w:val="left"/>
              <w:outlineLvl w:val="9"/>
              <w:rPr>
                <w:rFonts w:hint="default" w:ascii="Times New Roman" w:hAnsi="Times New Roman" w:eastAsia="宋体" w:cs="Times New Roman"/>
                <w:color w:val="auto"/>
                <w:sz w:val="21"/>
                <w:highlight w:val="none"/>
              </w:rPr>
            </w:pPr>
            <w:bookmarkStart w:id="32" w:name="_Toc368058523"/>
            <w:bookmarkStart w:id="33" w:name="_Toc370484533"/>
            <w:bookmarkStart w:id="34" w:name="_Toc383706644"/>
            <w:bookmarkStart w:id="35" w:name="_Toc372881652"/>
            <w:bookmarkStart w:id="36" w:name="_Toc373331118"/>
            <w:bookmarkStart w:id="37" w:name="_Toc385497476"/>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lang w:val="en-US" w:eastAsia="zh-CN"/>
              </w:rPr>
              <w:t>2</w:t>
            </w: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rPr>
              <w:t>监测时间和频率</w:t>
            </w:r>
            <w:bookmarkEnd w:id="32"/>
            <w:bookmarkEnd w:id="33"/>
            <w:bookmarkEnd w:id="34"/>
            <w:bookmarkEnd w:id="35"/>
            <w:bookmarkEnd w:id="36"/>
            <w:bookmarkEnd w:id="37"/>
          </w:p>
          <w:p w14:paraId="33B719A1">
            <w:pPr>
              <w:adjustRightInd w:val="0"/>
              <w:snapToGrid w:val="0"/>
              <w:spacing w:line="360" w:lineRule="auto"/>
              <w:ind w:firstLine="420" w:firstLineChars="200"/>
              <w:jc w:val="left"/>
              <w:outlineLvl w:val="9"/>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202</w:t>
            </w:r>
            <w:r>
              <w:rPr>
                <w:rFonts w:hint="default" w:ascii="Times New Roman" w:hAnsi="Times New Roman" w:eastAsia="宋体" w:cs="Times New Roman"/>
                <w:color w:val="auto"/>
                <w:sz w:val="21"/>
                <w:highlight w:val="none"/>
                <w:lang w:val="en-US" w:eastAsia="zh-CN"/>
              </w:rPr>
              <w:t>5</w:t>
            </w:r>
            <w:r>
              <w:rPr>
                <w:rFonts w:hint="default" w:ascii="Times New Roman" w:hAnsi="Times New Roman" w:eastAsia="宋体" w:cs="Times New Roman"/>
                <w:color w:val="auto"/>
                <w:sz w:val="21"/>
                <w:highlight w:val="none"/>
              </w:rPr>
              <w:t>年</w:t>
            </w:r>
            <w:r>
              <w:rPr>
                <w:rFonts w:hint="eastAsia" w:cs="Times New Roman"/>
                <w:color w:val="auto"/>
                <w:sz w:val="21"/>
                <w:highlight w:val="none"/>
                <w:lang w:val="en-US" w:eastAsia="zh-CN"/>
              </w:rPr>
              <w:t>10</w:t>
            </w:r>
            <w:r>
              <w:rPr>
                <w:rFonts w:hint="default" w:ascii="Times New Roman" w:hAnsi="Times New Roman" w:eastAsia="宋体" w:cs="Times New Roman"/>
                <w:color w:val="auto"/>
                <w:sz w:val="21"/>
                <w:highlight w:val="none"/>
              </w:rPr>
              <w:t>月</w:t>
            </w:r>
            <w:r>
              <w:rPr>
                <w:rFonts w:hint="eastAsia" w:cs="Times New Roman"/>
                <w:color w:val="auto"/>
                <w:sz w:val="21"/>
                <w:highlight w:val="none"/>
                <w:lang w:val="en-US" w:eastAsia="zh-CN"/>
              </w:rPr>
              <w:t>24</w:t>
            </w:r>
            <w:r>
              <w:rPr>
                <w:rFonts w:hint="default" w:ascii="Times New Roman" w:hAnsi="Times New Roman" w:eastAsia="宋体" w:cs="Times New Roman"/>
                <w:color w:val="auto"/>
                <w:sz w:val="21"/>
                <w:highlight w:val="none"/>
              </w:rPr>
              <w:t>日进行，监测1天，昼夜各1次。</w:t>
            </w:r>
          </w:p>
          <w:p w14:paraId="6A80D107">
            <w:pPr>
              <w:adjustRightInd w:val="0"/>
              <w:snapToGrid w:val="0"/>
              <w:spacing w:line="360" w:lineRule="auto"/>
              <w:ind w:firstLine="420" w:firstLineChars="200"/>
              <w:jc w:val="left"/>
              <w:outlineLvl w:val="9"/>
              <w:rPr>
                <w:rFonts w:hint="default" w:ascii="Times New Roman" w:hAnsi="Times New Roman" w:eastAsia="宋体" w:cs="Times New Roman"/>
                <w:color w:val="auto"/>
                <w:sz w:val="21"/>
                <w:highlight w:val="none"/>
              </w:rPr>
            </w:pPr>
            <w:bookmarkStart w:id="38" w:name="_Toc368058524"/>
            <w:bookmarkStart w:id="39" w:name="_Toc385497477"/>
            <w:bookmarkStart w:id="40" w:name="_Toc370484534"/>
            <w:bookmarkStart w:id="41" w:name="_Toc372881653"/>
            <w:bookmarkStart w:id="42" w:name="_Toc373331119"/>
            <w:bookmarkStart w:id="43" w:name="_Toc383706645"/>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lang w:val="en-US" w:eastAsia="zh-CN"/>
              </w:rPr>
              <w:t>3</w:t>
            </w: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rPr>
              <w:t>监测结果及评价</w:t>
            </w:r>
            <w:bookmarkEnd w:id="38"/>
            <w:bookmarkEnd w:id="39"/>
            <w:bookmarkEnd w:id="40"/>
            <w:bookmarkEnd w:id="41"/>
            <w:bookmarkEnd w:id="42"/>
            <w:bookmarkEnd w:id="43"/>
          </w:p>
          <w:p w14:paraId="5A443293">
            <w:pPr>
              <w:adjustRightInd w:val="0"/>
              <w:snapToGrid w:val="0"/>
              <w:spacing w:line="360" w:lineRule="auto"/>
              <w:ind w:firstLine="420" w:firstLineChars="200"/>
              <w:jc w:val="left"/>
              <w:outlineLvl w:val="9"/>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环境噪声监测结果见表3-</w:t>
            </w:r>
            <w:r>
              <w:rPr>
                <w:rFonts w:hint="default" w:ascii="Times New Roman" w:hAnsi="Times New Roman" w:eastAsia="宋体" w:cs="Times New Roman"/>
                <w:color w:val="auto"/>
                <w:sz w:val="21"/>
                <w:highlight w:val="none"/>
                <w:lang w:val="en-US" w:eastAsia="zh-CN"/>
              </w:rPr>
              <w:t>3</w:t>
            </w:r>
            <w:r>
              <w:rPr>
                <w:rFonts w:hint="default" w:ascii="Times New Roman" w:hAnsi="Times New Roman" w:eastAsia="宋体" w:cs="Times New Roman"/>
                <w:color w:val="auto"/>
                <w:sz w:val="21"/>
                <w:highlight w:val="none"/>
              </w:rPr>
              <w:t>。</w:t>
            </w:r>
          </w:p>
          <w:p w14:paraId="5AAE45C9">
            <w:pPr>
              <w:adjustRightInd w:val="0"/>
              <w:snapToGrid w:val="0"/>
              <w:spacing w:line="360" w:lineRule="auto"/>
              <w:ind w:firstLine="420" w:firstLineChars="200"/>
              <w:jc w:val="left"/>
              <w:outlineLvl w:val="9"/>
              <w:rPr>
                <w:rFonts w:hint="default" w:ascii="Times New Roman" w:hAnsi="Times New Roman" w:eastAsia="宋体" w:cs="Times New Roman"/>
                <w:color w:val="auto"/>
                <w:sz w:val="21"/>
                <w:highlight w:val="none"/>
              </w:rPr>
            </w:pPr>
          </w:p>
          <w:p w14:paraId="75ADB3A8">
            <w:pPr>
              <w:adjustRightInd w:val="0"/>
              <w:snapToGrid w:val="0"/>
              <w:spacing w:line="360" w:lineRule="auto"/>
              <w:ind w:firstLine="420" w:firstLineChars="200"/>
              <w:jc w:val="left"/>
              <w:outlineLvl w:val="9"/>
              <w:rPr>
                <w:rFonts w:hint="default" w:ascii="Times New Roman" w:hAnsi="Times New Roman" w:eastAsia="宋体" w:cs="Times New Roman"/>
                <w:color w:val="auto"/>
                <w:sz w:val="21"/>
                <w:highlight w:val="none"/>
              </w:rPr>
            </w:pPr>
          </w:p>
          <w:p w14:paraId="354CE0C9">
            <w:pPr>
              <w:adjustRightInd w:val="0"/>
              <w:snapToGrid w:val="0"/>
              <w:jc w:val="center"/>
              <w:outlineLvl w:val="9"/>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表3-</w:t>
            </w:r>
            <w:r>
              <w:rPr>
                <w:rFonts w:hint="eastAsia" w:cs="Times New Roman"/>
                <w:b/>
                <w:color w:val="auto"/>
                <w:sz w:val="21"/>
                <w:szCs w:val="21"/>
                <w:highlight w:val="none"/>
                <w:lang w:val="en-US" w:eastAsia="zh-CN"/>
              </w:rPr>
              <w:t>2</w:t>
            </w:r>
            <w:r>
              <w:rPr>
                <w:rFonts w:hint="default" w:ascii="Times New Roman" w:hAnsi="Times New Roman" w:eastAsia="宋体" w:cs="Times New Roman"/>
                <w:b/>
                <w:color w:val="auto"/>
                <w:sz w:val="21"/>
                <w:szCs w:val="21"/>
                <w:highlight w:val="none"/>
              </w:rPr>
              <w:t xml:space="preserve"> 敏感点</w:t>
            </w:r>
            <w:r>
              <w:rPr>
                <w:rFonts w:hint="default" w:ascii="Times New Roman" w:hAnsi="Times New Roman" w:eastAsia="宋体" w:cs="Times New Roman"/>
                <w:b/>
                <w:color w:val="auto"/>
                <w:sz w:val="21"/>
                <w:szCs w:val="21"/>
                <w:highlight w:val="none"/>
                <w:lang w:val="en-US" w:eastAsia="zh-CN"/>
              </w:rPr>
              <w:t>声环境</w:t>
            </w:r>
            <w:r>
              <w:rPr>
                <w:rFonts w:hint="default" w:ascii="Times New Roman" w:hAnsi="Times New Roman" w:eastAsia="宋体" w:cs="Times New Roman"/>
                <w:b/>
                <w:color w:val="auto"/>
                <w:sz w:val="21"/>
                <w:szCs w:val="21"/>
                <w:highlight w:val="none"/>
              </w:rPr>
              <w:t>现状监测结果表</w:t>
            </w:r>
          </w:p>
          <w:tbl>
            <w:tblPr>
              <w:tblStyle w:val="42"/>
              <w:tblW w:w="766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75"/>
              <w:gridCol w:w="1509"/>
              <w:gridCol w:w="1746"/>
              <w:gridCol w:w="2030"/>
            </w:tblGrid>
            <w:tr w14:paraId="59F330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7" w:hRule="atLeast"/>
                <w:tblHeader/>
                <w:jc w:val="center"/>
              </w:trPr>
              <w:tc>
                <w:tcPr>
                  <w:tcW w:w="2375" w:type="dxa"/>
                  <w:vMerge w:val="restart"/>
                  <w:tcBorders>
                    <w:tl2br w:val="nil"/>
                    <w:tr2bl w:val="nil"/>
                  </w:tcBorders>
                  <w:noWrap w:val="0"/>
                  <w:vAlign w:val="center"/>
                </w:tcPr>
                <w:p w14:paraId="6FDC0584">
                  <w:pPr>
                    <w:widowControl/>
                    <w:spacing w:line="240" w:lineRule="auto"/>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采样点位</w:t>
                  </w:r>
                </w:p>
              </w:tc>
              <w:tc>
                <w:tcPr>
                  <w:tcW w:w="1509" w:type="dxa"/>
                  <w:vMerge w:val="restart"/>
                  <w:tcBorders>
                    <w:tl2br w:val="nil"/>
                    <w:tr2bl w:val="nil"/>
                  </w:tcBorders>
                  <w:noWrap w:val="0"/>
                  <w:vAlign w:val="center"/>
                </w:tcPr>
                <w:p w14:paraId="27ED2576">
                  <w:pPr>
                    <w:widowControl/>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采样日期</w:t>
                  </w:r>
                </w:p>
              </w:tc>
              <w:tc>
                <w:tcPr>
                  <w:tcW w:w="3776" w:type="dxa"/>
                  <w:gridSpan w:val="2"/>
                  <w:tcBorders>
                    <w:tl2br w:val="nil"/>
                    <w:tr2bl w:val="nil"/>
                  </w:tcBorders>
                  <w:noWrap w:val="0"/>
                  <w:vAlign w:val="center"/>
                </w:tcPr>
                <w:p w14:paraId="583197E5">
                  <w:pPr>
                    <w:spacing w:beforeLines="20"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检测结果</w:t>
                  </w:r>
                </w:p>
              </w:tc>
            </w:tr>
            <w:tr w14:paraId="75B6CC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2" w:hRule="atLeast"/>
                <w:tblHeader/>
                <w:jc w:val="center"/>
              </w:trPr>
              <w:tc>
                <w:tcPr>
                  <w:tcW w:w="2375" w:type="dxa"/>
                  <w:vMerge w:val="continue"/>
                  <w:tcBorders>
                    <w:tl2br w:val="nil"/>
                    <w:tr2bl w:val="nil"/>
                  </w:tcBorders>
                  <w:noWrap w:val="0"/>
                  <w:vAlign w:val="center"/>
                </w:tcPr>
                <w:p w14:paraId="3EC70774">
                  <w:pPr>
                    <w:widowControl/>
                    <w:spacing w:line="240" w:lineRule="auto"/>
                    <w:jc w:val="center"/>
                    <w:textAlignment w:val="center"/>
                    <w:rPr>
                      <w:rFonts w:hint="default" w:ascii="Times New Roman" w:hAnsi="Times New Roman" w:eastAsia="宋体" w:cs="Times New Roman"/>
                      <w:color w:val="auto"/>
                      <w:sz w:val="21"/>
                      <w:szCs w:val="21"/>
                      <w:highlight w:val="none"/>
                    </w:rPr>
                  </w:pPr>
                </w:p>
              </w:tc>
              <w:tc>
                <w:tcPr>
                  <w:tcW w:w="1509" w:type="dxa"/>
                  <w:vMerge w:val="continue"/>
                  <w:tcBorders>
                    <w:tl2br w:val="nil"/>
                    <w:tr2bl w:val="nil"/>
                  </w:tcBorders>
                  <w:noWrap w:val="0"/>
                  <w:vAlign w:val="center"/>
                </w:tcPr>
                <w:p w14:paraId="4C1E6F8A">
                  <w:pPr>
                    <w:widowControl/>
                    <w:spacing w:line="240" w:lineRule="auto"/>
                    <w:jc w:val="center"/>
                    <w:textAlignment w:val="center"/>
                    <w:rPr>
                      <w:rFonts w:hint="default" w:ascii="Times New Roman" w:hAnsi="Times New Roman" w:eastAsia="宋体" w:cs="Times New Roman"/>
                      <w:color w:val="auto"/>
                      <w:sz w:val="21"/>
                      <w:szCs w:val="21"/>
                      <w:highlight w:val="none"/>
                    </w:rPr>
                  </w:pPr>
                </w:p>
              </w:tc>
              <w:tc>
                <w:tcPr>
                  <w:tcW w:w="1746" w:type="dxa"/>
                  <w:tcBorders>
                    <w:tl2br w:val="nil"/>
                    <w:tr2bl w:val="nil"/>
                  </w:tcBorders>
                  <w:noWrap w:val="0"/>
                  <w:vAlign w:val="center"/>
                </w:tcPr>
                <w:p w14:paraId="48FBBD2C">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昼间dB（A）</w:t>
                  </w:r>
                </w:p>
              </w:tc>
              <w:tc>
                <w:tcPr>
                  <w:tcW w:w="2030" w:type="dxa"/>
                  <w:tcBorders>
                    <w:tl2br w:val="nil"/>
                    <w:tr2bl w:val="nil"/>
                  </w:tcBorders>
                  <w:noWrap w:val="0"/>
                  <w:vAlign w:val="center"/>
                </w:tcPr>
                <w:p w14:paraId="1CF145AD">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夜间dB（A）</w:t>
                  </w:r>
                </w:p>
              </w:tc>
            </w:tr>
            <w:tr w14:paraId="238BE9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2375" w:type="dxa"/>
                  <w:tcBorders>
                    <w:tl2br w:val="nil"/>
                    <w:tr2bl w:val="nil"/>
                  </w:tcBorders>
                  <w:noWrap w:val="0"/>
                  <w:vAlign w:val="center"/>
                </w:tcPr>
                <w:p w14:paraId="751B303D">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厂区</w:t>
                  </w:r>
                  <w:r>
                    <w:rPr>
                      <w:rFonts w:hint="eastAsia" w:cs="Times New Roman"/>
                      <w:color w:val="auto"/>
                      <w:sz w:val="21"/>
                      <w:szCs w:val="21"/>
                      <w:highlight w:val="none"/>
                      <w:lang w:val="en-US" w:eastAsia="zh-CN"/>
                    </w:rPr>
                    <w:t>南</w:t>
                  </w:r>
                  <w:r>
                    <w:rPr>
                      <w:rFonts w:hint="default" w:ascii="Times New Roman" w:hAnsi="Times New Roman" w:eastAsia="宋体" w:cs="Times New Roman"/>
                      <w:color w:val="auto"/>
                      <w:sz w:val="21"/>
                      <w:szCs w:val="21"/>
                      <w:highlight w:val="none"/>
                      <w:lang w:val="en-US" w:eastAsia="zh-CN"/>
                    </w:rPr>
                    <w:t>侧民房</w:t>
                  </w:r>
                </w:p>
              </w:tc>
              <w:tc>
                <w:tcPr>
                  <w:tcW w:w="1509" w:type="dxa"/>
                  <w:tcBorders>
                    <w:tl2br w:val="nil"/>
                    <w:tr2bl w:val="nil"/>
                  </w:tcBorders>
                  <w:noWrap w:val="0"/>
                  <w:vAlign w:val="center"/>
                </w:tcPr>
                <w:p w14:paraId="12213E7B">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 w:val="0"/>
                      <w:bCs/>
                      <w:color w:val="auto"/>
                      <w:spacing w:val="0"/>
                      <w:sz w:val="21"/>
                      <w:szCs w:val="21"/>
                      <w:highlight w:val="none"/>
                      <w:lang w:val="en-US" w:eastAsia="zh-CN"/>
                    </w:rPr>
                    <w:t>2025.</w:t>
                  </w:r>
                  <w:r>
                    <w:rPr>
                      <w:rFonts w:hint="eastAsia" w:cs="Times New Roman"/>
                      <w:b w:val="0"/>
                      <w:bCs/>
                      <w:color w:val="auto"/>
                      <w:spacing w:val="0"/>
                      <w:sz w:val="21"/>
                      <w:szCs w:val="21"/>
                      <w:highlight w:val="none"/>
                      <w:lang w:val="en-US" w:eastAsia="zh-CN"/>
                    </w:rPr>
                    <w:t>10.24</w:t>
                  </w:r>
                </w:p>
              </w:tc>
              <w:tc>
                <w:tcPr>
                  <w:tcW w:w="1746" w:type="dxa"/>
                  <w:tcBorders>
                    <w:tl2br w:val="nil"/>
                    <w:tr2bl w:val="nil"/>
                  </w:tcBorders>
                  <w:noWrap w:val="0"/>
                  <w:vAlign w:val="center"/>
                </w:tcPr>
                <w:p w14:paraId="4862814F">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53</w:t>
                  </w:r>
                </w:p>
              </w:tc>
              <w:tc>
                <w:tcPr>
                  <w:tcW w:w="2030" w:type="dxa"/>
                  <w:tcBorders>
                    <w:tl2br w:val="nil"/>
                    <w:tr2bl w:val="nil"/>
                  </w:tcBorders>
                  <w:noWrap w:val="0"/>
                  <w:vAlign w:val="center"/>
                </w:tcPr>
                <w:p w14:paraId="6F746857">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40</w:t>
                  </w:r>
                </w:p>
              </w:tc>
            </w:tr>
            <w:tr w14:paraId="06804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375" w:type="dxa"/>
                  <w:tcBorders>
                    <w:tl2br w:val="nil"/>
                    <w:tr2bl w:val="nil"/>
                  </w:tcBorders>
                  <w:noWrap w:val="0"/>
                  <w:vAlign w:val="center"/>
                </w:tcPr>
                <w:p w14:paraId="43B1FE44">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厂区东侧民房</w:t>
                  </w:r>
                </w:p>
              </w:tc>
              <w:tc>
                <w:tcPr>
                  <w:tcW w:w="1509" w:type="dxa"/>
                  <w:tcBorders>
                    <w:tl2br w:val="nil"/>
                    <w:tr2bl w:val="nil"/>
                  </w:tcBorders>
                  <w:noWrap w:val="0"/>
                  <w:vAlign w:val="center"/>
                </w:tcPr>
                <w:p w14:paraId="5D953CD2">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 w:val="0"/>
                      <w:bCs/>
                      <w:color w:val="auto"/>
                      <w:spacing w:val="0"/>
                      <w:sz w:val="21"/>
                      <w:szCs w:val="21"/>
                      <w:highlight w:val="none"/>
                      <w:lang w:val="en-US" w:eastAsia="zh-CN"/>
                    </w:rPr>
                    <w:t>2025.</w:t>
                  </w:r>
                  <w:r>
                    <w:rPr>
                      <w:rFonts w:hint="eastAsia" w:cs="Times New Roman"/>
                      <w:b w:val="0"/>
                      <w:bCs/>
                      <w:color w:val="auto"/>
                      <w:spacing w:val="0"/>
                      <w:sz w:val="21"/>
                      <w:szCs w:val="21"/>
                      <w:highlight w:val="none"/>
                      <w:lang w:val="en-US" w:eastAsia="zh-CN"/>
                    </w:rPr>
                    <w:t>10.24</w:t>
                  </w:r>
                </w:p>
              </w:tc>
              <w:tc>
                <w:tcPr>
                  <w:tcW w:w="1746" w:type="dxa"/>
                  <w:tcBorders>
                    <w:tl2br w:val="nil"/>
                    <w:tr2bl w:val="nil"/>
                  </w:tcBorders>
                  <w:noWrap w:val="0"/>
                  <w:vAlign w:val="center"/>
                </w:tcPr>
                <w:p w14:paraId="01AE20E6">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55</w:t>
                  </w:r>
                </w:p>
              </w:tc>
              <w:tc>
                <w:tcPr>
                  <w:tcW w:w="2030" w:type="dxa"/>
                  <w:tcBorders>
                    <w:tl2br w:val="nil"/>
                    <w:tr2bl w:val="nil"/>
                  </w:tcBorders>
                  <w:noWrap w:val="0"/>
                  <w:vAlign w:val="center"/>
                </w:tcPr>
                <w:p w14:paraId="45190642">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42</w:t>
                  </w:r>
                </w:p>
              </w:tc>
            </w:tr>
          </w:tbl>
          <w:p w14:paraId="32610D5D">
            <w:pPr>
              <w:pStyle w:val="105"/>
              <w:spacing w:line="360" w:lineRule="auto"/>
              <w:ind w:right="0"/>
              <w:jc w:val="center"/>
              <w:rPr>
                <w:rFonts w:hint="default" w:ascii="Times New Roman" w:hAnsi="Times New Roman" w:eastAsia="宋体" w:cs="Times New Roman"/>
                <w:b/>
                <w:bCs/>
                <w:color w:val="auto"/>
                <w:kern w:val="2"/>
                <w:sz w:val="21"/>
                <w:szCs w:val="24"/>
                <w:highlight w:val="yellow"/>
                <w:lang w:val="en-US" w:eastAsia="zh-CN" w:bidi="ar-SA"/>
              </w:rPr>
            </w:pPr>
            <w:r>
              <w:rPr>
                <w:color w:val="auto"/>
              </w:rPr>
              <w:drawing>
                <wp:inline distT="0" distB="0" distL="114300" distR="114300">
                  <wp:extent cx="5057775" cy="3219450"/>
                  <wp:effectExtent l="9525" t="9525" r="19050" b="9525"/>
                  <wp:docPr id="6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4"/>
                          <pic:cNvPicPr>
                            <a:picLocks noChangeAspect="1"/>
                          </pic:cNvPicPr>
                        </pic:nvPicPr>
                        <pic:blipFill>
                          <a:blip r:embed="rId32"/>
                          <a:stretch>
                            <a:fillRect/>
                          </a:stretch>
                        </pic:blipFill>
                        <pic:spPr>
                          <a:xfrm>
                            <a:off x="0" y="0"/>
                            <a:ext cx="5057775" cy="3219450"/>
                          </a:xfrm>
                          <a:prstGeom prst="rect">
                            <a:avLst/>
                          </a:prstGeom>
                          <a:noFill/>
                          <a:ln w="6350">
                            <a:solidFill>
                              <a:schemeClr val="tx1"/>
                            </a:solidFill>
                          </a:ln>
                        </pic:spPr>
                      </pic:pic>
                    </a:graphicData>
                  </a:graphic>
                </wp:inline>
              </w:drawing>
            </w:r>
          </w:p>
          <w:p w14:paraId="54D9BF5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val="0"/>
                <w:color w:val="auto"/>
                <w:kern w:val="18"/>
                <w:sz w:val="21"/>
                <w:szCs w:val="21"/>
                <w:highlight w:val="none"/>
                <w:lang w:val="en-US" w:eastAsia="zh-CN"/>
              </w:rPr>
            </w:pPr>
            <w:r>
              <w:rPr>
                <w:rFonts w:hint="default" w:ascii="Times New Roman" w:hAnsi="Times New Roman" w:eastAsia="宋体" w:cs="宋体"/>
                <w:b/>
                <w:bCs w:val="0"/>
                <w:color w:val="auto"/>
                <w:kern w:val="18"/>
                <w:sz w:val="21"/>
                <w:szCs w:val="21"/>
                <w:highlight w:val="none"/>
                <w:lang w:val="en-US" w:eastAsia="zh-CN"/>
              </w:rPr>
              <w:t>图3-</w:t>
            </w:r>
            <w:r>
              <w:rPr>
                <w:rFonts w:hint="eastAsia" w:ascii="Times New Roman" w:hAnsi="Times New Roman" w:eastAsia="宋体" w:cs="宋体"/>
                <w:b/>
                <w:bCs w:val="0"/>
                <w:color w:val="auto"/>
                <w:kern w:val="18"/>
                <w:sz w:val="21"/>
                <w:szCs w:val="21"/>
                <w:highlight w:val="none"/>
                <w:lang w:val="en-US" w:eastAsia="zh-CN"/>
              </w:rPr>
              <w:t>2</w:t>
            </w:r>
            <w:r>
              <w:rPr>
                <w:rFonts w:hint="default" w:ascii="Times New Roman" w:hAnsi="Times New Roman" w:eastAsia="宋体" w:cs="宋体"/>
                <w:b/>
                <w:bCs w:val="0"/>
                <w:color w:val="auto"/>
                <w:kern w:val="18"/>
                <w:sz w:val="21"/>
                <w:szCs w:val="21"/>
                <w:highlight w:val="none"/>
                <w:lang w:val="en-US" w:eastAsia="zh-CN"/>
              </w:rPr>
              <w:t xml:space="preserve"> 声环境检测点位示意图</w:t>
            </w:r>
          </w:p>
          <w:p w14:paraId="5C4123EF">
            <w:pPr>
              <w:pStyle w:val="105"/>
              <w:spacing w:line="360" w:lineRule="auto"/>
              <w:ind w:left="0" w:right="0" w:firstLine="422" w:firstLineChars="200"/>
              <w:jc w:val="left"/>
              <w:rPr>
                <w:rFonts w:hint="default" w:ascii="Times New Roman" w:hAnsi="Times New Roman" w:eastAsia="宋体" w:cs="Times New Roman"/>
                <w:b/>
                <w:bCs/>
                <w:color w:val="auto"/>
                <w:kern w:val="2"/>
                <w:sz w:val="21"/>
                <w:szCs w:val="24"/>
                <w:highlight w:val="none"/>
                <w:lang w:val="en-US" w:eastAsia="zh-CN" w:bidi="ar-SA"/>
              </w:rPr>
            </w:pPr>
            <w:r>
              <w:rPr>
                <w:rFonts w:hint="default" w:ascii="Times New Roman" w:hAnsi="Times New Roman" w:eastAsia="宋体" w:cs="Times New Roman"/>
                <w:b/>
                <w:bCs/>
                <w:color w:val="auto"/>
                <w:kern w:val="2"/>
                <w:sz w:val="21"/>
                <w:szCs w:val="24"/>
                <w:highlight w:val="none"/>
                <w:lang w:val="en-US" w:eastAsia="zh-CN" w:bidi="ar-SA"/>
              </w:rPr>
              <w:t>4、生态环境</w:t>
            </w:r>
          </w:p>
          <w:p w14:paraId="417F8F39">
            <w:pPr>
              <w:spacing w:line="360" w:lineRule="auto"/>
              <w:ind w:firstLine="420" w:firstLineChars="200"/>
              <w:rPr>
                <w:rFonts w:hint="default" w:ascii="Times New Roman" w:hAnsi="Times New Roman" w:cs="Times New Roman" w:eastAsiaTheme="minorEastAsia"/>
                <w:color w:val="auto"/>
                <w:kern w:val="0"/>
                <w:szCs w:val="21"/>
              </w:rPr>
            </w:pPr>
            <w:r>
              <w:rPr>
                <w:rFonts w:hint="default" w:ascii="Times New Roman" w:hAnsi="Times New Roman" w:cs="Times New Roman" w:eastAsiaTheme="minorEastAsia"/>
                <w:color w:val="auto"/>
                <w:kern w:val="0"/>
                <w:szCs w:val="21"/>
              </w:rPr>
              <w:t>本项目用地为</w:t>
            </w:r>
            <w:r>
              <w:rPr>
                <w:rFonts w:hint="eastAsia" w:cs="Times New Roman" w:eastAsiaTheme="minorEastAsia"/>
                <w:color w:val="auto"/>
                <w:kern w:val="0"/>
                <w:szCs w:val="21"/>
                <w:lang w:val="en-US" w:eastAsia="zh-CN"/>
              </w:rPr>
              <w:t>商服</w:t>
            </w:r>
            <w:r>
              <w:rPr>
                <w:rFonts w:hint="default" w:ascii="Times New Roman" w:hAnsi="Times New Roman" w:cs="Times New Roman" w:eastAsiaTheme="minorEastAsia"/>
                <w:color w:val="auto"/>
                <w:kern w:val="0"/>
                <w:szCs w:val="21"/>
              </w:rPr>
              <w:t>用地，用地范围内无生态环境保护目标，因此不进行生态现状调查。</w:t>
            </w:r>
          </w:p>
          <w:p w14:paraId="69F26A74">
            <w:pPr>
              <w:spacing w:line="360" w:lineRule="auto"/>
              <w:ind w:firstLine="422" w:firstLineChars="200"/>
              <w:rPr>
                <w:rFonts w:hint="default" w:ascii="Times New Roman" w:hAnsi="Times New Roman" w:eastAsia="宋体" w:cs="Times New Roman"/>
                <w:b/>
                <w:bCs/>
                <w:color w:val="auto"/>
                <w:sz w:val="21"/>
                <w:szCs w:val="24"/>
                <w:highlight w:val="none"/>
              </w:rPr>
            </w:pPr>
            <w:r>
              <w:rPr>
                <w:rFonts w:hint="default" w:ascii="Times New Roman" w:hAnsi="Times New Roman" w:eastAsia="宋体" w:cs="Times New Roman"/>
                <w:b/>
                <w:bCs/>
                <w:color w:val="auto"/>
                <w:sz w:val="21"/>
                <w:szCs w:val="24"/>
                <w:highlight w:val="none"/>
              </w:rPr>
              <w:t>5、电磁辐射</w:t>
            </w:r>
          </w:p>
          <w:p w14:paraId="6BECBEA1">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本项目不涉及。</w:t>
            </w:r>
          </w:p>
          <w:p w14:paraId="32AF54EB">
            <w:pPr>
              <w:spacing w:line="360" w:lineRule="auto"/>
              <w:ind w:firstLine="422" w:firstLineChars="200"/>
              <w:rPr>
                <w:rFonts w:hint="default" w:ascii="Times New Roman" w:hAnsi="Times New Roman" w:eastAsia="宋体" w:cs="Times New Roman"/>
                <w:b/>
                <w:bCs/>
                <w:color w:val="auto"/>
                <w:sz w:val="21"/>
                <w:szCs w:val="24"/>
                <w:highlight w:val="none"/>
              </w:rPr>
            </w:pPr>
            <w:r>
              <w:rPr>
                <w:rFonts w:hint="default" w:ascii="Times New Roman" w:hAnsi="Times New Roman" w:eastAsia="宋体" w:cs="Times New Roman"/>
                <w:b/>
                <w:bCs/>
                <w:color w:val="auto"/>
                <w:sz w:val="21"/>
                <w:szCs w:val="24"/>
                <w:highlight w:val="none"/>
              </w:rPr>
              <w:t>6、地下水</w:t>
            </w:r>
            <w:r>
              <w:rPr>
                <w:rFonts w:hint="default" w:ascii="Times New Roman" w:hAnsi="Times New Roman" w:cs="Times New Roman" w:eastAsiaTheme="minorEastAsia"/>
                <w:b/>
                <w:color w:val="auto"/>
                <w:sz w:val="21"/>
                <w:szCs w:val="21"/>
              </w:rPr>
              <w:t>、</w:t>
            </w:r>
            <w:r>
              <w:rPr>
                <w:rFonts w:hint="eastAsia" w:cs="Times New Roman"/>
                <w:b/>
                <w:bCs/>
                <w:color w:val="auto"/>
                <w:sz w:val="21"/>
                <w:szCs w:val="24"/>
                <w:highlight w:val="none"/>
                <w:lang w:val="en-US" w:eastAsia="zh-CN"/>
              </w:rPr>
              <w:t>土壤</w:t>
            </w:r>
            <w:r>
              <w:rPr>
                <w:rFonts w:hint="default" w:ascii="Times New Roman" w:hAnsi="Times New Roman" w:eastAsia="宋体" w:cs="Times New Roman"/>
                <w:b/>
                <w:bCs/>
                <w:color w:val="auto"/>
                <w:sz w:val="21"/>
                <w:highlight w:val="none"/>
              </w:rPr>
              <w:t>环境</w:t>
            </w:r>
          </w:p>
          <w:p w14:paraId="218CEC6D">
            <w:pPr>
              <w:spacing w:line="360" w:lineRule="auto"/>
              <w:ind w:firstLine="420" w:firstLineChars="200"/>
              <w:contextualSpacing/>
              <w:jc w:val="left"/>
              <w:rPr>
                <w:rFonts w:hint="default" w:ascii="Times New Roman" w:hAnsi="Times New Roman" w:eastAsia="宋体" w:cs="Times New Roman"/>
                <w:color w:val="auto"/>
                <w:kern w:val="21"/>
                <w:sz w:val="21"/>
                <w:highlight w:val="none"/>
              </w:rPr>
            </w:pPr>
            <w:r>
              <w:rPr>
                <w:rFonts w:hint="default" w:ascii="Times New Roman" w:hAnsi="Times New Roman" w:cs="Times New Roman" w:eastAsiaTheme="minorEastAsia"/>
                <w:bCs/>
                <w:color w:val="auto"/>
                <w:szCs w:val="21"/>
              </w:rPr>
              <w:t>本项目</w:t>
            </w:r>
            <w:r>
              <w:rPr>
                <w:rFonts w:hint="default" w:ascii="Times New Roman" w:hAnsi="Times New Roman" w:cs="Times New Roman" w:eastAsiaTheme="minorEastAsia"/>
                <w:color w:val="auto"/>
                <w:kern w:val="0"/>
                <w:szCs w:val="21"/>
              </w:rPr>
              <w:t>属于</w:t>
            </w:r>
            <w:r>
              <w:rPr>
                <w:rFonts w:hint="default" w:ascii="Times New Roman" w:hAnsi="Times New Roman" w:cs="Times New Roman" w:eastAsiaTheme="minorEastAsia"/>
                <w:color w:val="auto"/>
                <w:szCs w:val="21"/>
                <w:lang w:val="en-US" w:eastAsia="zh-CN"/>
              </w:rPr>
              <w:t>锅炉</w:t>
            </w:r>
            <w:r>
              <w:rPr>
                <w:rFonts w:hint="eastAsia" w:cs="Times New Roman" w:eastAsiaTheme="minorEastAsia"/>
                <w:color w:val="auto"/>
                <w:szCs w:val="21"/>
                <w:lang w:val="en-US" w:eastAsia="zh-CN"/>
              </w:rPr>
              <w:t>改建</w:t>
            </w:r>
            <w:r>
              <w:rPr>
                <w:rFonts w:hint="default" w:ascii="Times New Roman" w:hAnsi="Times New Roman" w:cs="Times New Roman" w:eastAsiaTheme="minorEastAsia"/>
                <w:color w:val="auto"/>
                <w:szCs w:val="21"/>
              </w:rPr>
              <w:t>项目</w:t>
            </w:r>
            <w:r>
              <w:rPr>
                <w:rFonts w:hint="default" w:ascii="Times New Roman" w:hAnsi="Times New Roman" w:cs="Times New Roman" w:eastAsiaTheme="minorEastAsia"/>
                <w:bCs/>
                <w:color w:val="auto"/>
                <w:szCs w:val="21"/>
              </w:rPr>
              <w:t>，用地范围内均进行了硬底化，不存在土壤、地下水污染途径，对地下水、土壤</w:t>
            </w:r>
            <w:r>
              <w:rPr>
                <w:rFonts w:hint="eastAsia" w:cs="Times New Roman" w:eastAsiaTheme="minorEastAsia"/>
                <w:bCs/>
                <w:color w:val="auto"/>
                <w:szCs w:val="21"/>
                <w:lang w:val="en-US" w:eastAsia="zh-CN"/>
              </w:rPr>
              <w:t>无影响</w:t>
            </w:r>
            <w:r>
              <w:rPr>
                <w:rFonts w:hint="default" w:ascii="Times New Roman" w:hAnsi="Times New Roman" w:cs="Times New Roman" w:eastAsiaTheme="minorEastAsia"/>
                <w:bCs/>
                <w:color w:val="auto"/>
                <w:szCs w:val="21"/>
              </w:rPr>
              <w:t>。</w:t>
            </w:r>
            <w:r>
              <w:rPr>
                <w:rFonts w:hint="default" w:ascii="Times New Roman" w:hAnsi="Times New Roman" w:cs="Times New Roman"/>
                <w:color w:val="auto"/>
              </w:rPr>
              <w:t>因此，不进行土壤、地下水环境质量现状监测</w:t>
            </w:r>
            <w:r>
              <w:rPr>
                <w:rFonts w:hint="default" w:ascii="Times New Roman" w:hAnsi="Times New Roman" w:cs="Times New Roman" w:eastAsiaTheme="minorEastAsia"/>
                <w:color w:val="auto"/>
                <w:kern w:val="0"/>
                <w:szCs w:val="21"/>
              </w:rPr>
              <w:t>。</w:t>
            </w:r>
          </w:p>
        </w:tc>
      </w:tr>
      <w:tr w14:paraId="39469C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4" w:type="dxa"/>
            <w:noWrap w:val="0"/>
            <w:vAlign w:val="center"/>
          </w:tcPr>
          <w:p w14:paraId="26C96CBC">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环境</w:t>
            </w:r>
          </w:p>
          <w:p w14:paraId="50A2AF12">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保护</w:t>
            </w:r>
          </w:p>
          <w:p w14:paraId="2D6055A0">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目标</w:t>
            </w:r>
          </w:p>
        </w:tc>
        <w:tc>
          <w:tcPr>
            <w:tcW w:w="8577" w:type="dxa"/>
            <w:noWrap w:val="0"/>
            <w:vAlign w:val="top"/>
          </w:tcPr>
          <w:p w14:paraId="2EAFB482">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bCs/>
                <w:color w:val="auto"/>
                <w:sz w:val="21"/>
                <w:highlight w:val="none"/>
              </w:rPr>
            </w:pPr>
            <w:r>
              <w:rPr>
                <w:rFonts w:hint="default" w:ascii="Times New Roman" w:hAnsi="Times New Roman" w:eastAsia="宋体" w:cs="Times New Roman"/>
                <w:b/>
                <w:bCs/>
                <w:color w:val="auto"/>
                <w:sz w:val="21"/>
                <w:highlight w:val="none"/>
              </w:rPr>
              <w:t>1、大气环境保护目标</w:t>
            </w:r>
          </w:p>
          <w:p w14:paraId="7EC579B6">
            <w:pPr>
              <w:pStyle w:val="1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本项目厂界外500m范围内无自然保护区、风景名胜区，</w:t>
            </w:r>
            <w:r>
              <w:rPr>
                <w:rFonts w:hint="default" w:ascii="Times New Roman" w:hAnsi="Times New Roman" w:eastAsia="宋体" w:cs="Times New Roman"/>
                <w:color w:val="auto"/>
                <w:sz w:val="21"/>
                <w:highlight w:val="none"/>
                <w:lang w:eastAsia="zh-CN"/>
              </w:rPr>
              <w:t>主要</w:t>
            </w:r>
            <w:r>
              <w:rPr>
                <w:rFonts w:hint="default" w:ascii="Times New Roman" w:hAnsi="Times New Roman" w:eastAsia="宋体" w:cs="Times New Roman"/>
                <w:color w:val="auto"/>
                <w:sz w:val="21"/>
                <w:highlight w:val="none"/>
              </w:rPr>
              <w:t>大气环境保护目标</w:t>
            </w:r>
            <w:r>
              <w:rPr>
                <w:rFonts w:hint="default" w:ascii="Times New Roman" w:hAnsi="Times New Roman" w:eastAsia="宋体" w:cs="Times New Roman"/>
                <w:color w:val="auto"/>
                <w:sz w:val="21"/>
                <w:highlight w:val="none"/>
                <w:lang w:val="en-US" w:eastAsia="zh-CN"/>
              </w:rPr>
              <w:t>见下表</w:t>
            </w:r>
            <w:r>
              <w:rPr>
                <w:rFonts w:hint="default" w:ascii="Times New Roman" w:hAnsi="Times New Roman" w:eastAsia="宋体" w:cs="Times New Roman"/>
                <w:color w:val="auto"/>
                <w:sz w:val="21"/>
                <w:highlight w:val="none"/>
              </w:rPr>
              <w:t>。</w:t>
            </w:r>
          </w:p>
          <w:p w14:paraId="4725FAB1">
            <w:pPr>
              <w:pStyle w:val="1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1"/>
                <w:highlight w:val="none"/>
                <w:vertAlign w:val="baseline"/>
              </w:rPr>
            </w:pPr>
            <w:r>
              <w:rPr>
                <w:rFonts w:hint="default" w:ascii="Times New Roman" w:hAnsi="Times New Roman" w:eastAsia="宋体" w:cs="Times New Roman"/>
                <w:b/>
                <w:bCs/>
                <w:color w:val="auto"/>
                <w:sz w:val="21"/>
                <w:szCs w:val="21"/>
                <w:highlight w:val="none"/>
              </w:rPr>
              <w:t>表3-</w:t>
            </w:r>
            <w:r>
              <w:rPr>
                <w:rFonts w:hint="eastAsia" w:cs="Times New Roman"/>
                <w:b/>
                <w:bCs/>
                <w:color w:val="auto"/>
                <w:sz w:val="21"/>
                <w:szCs w:val="21"/>
                <w:highlight w:val="none"/>
                <w:lang w:val="en-US" w:eastAsia="zh-CN"/>
              </w:rPr>
              <w:t>3</w:t>
            </w:r>
            <w:r>
              <w:rPr>
                <w:rFonts w:hint="default" w:ascii="Times New Roman" w:hAnsi="Times New Roman" w:eastAsia="宋体" w:cs="Times New Roman"/>
                <w:b/>
                <w:bCs/>
                <w:color w:val="auto"/>
                <w:sz w:val="21"/>
                <w:szCs w:val="21"/>
                <w:highlight w:val="none"/>
              </w:rPr>
              <w:t xml:space="preserve"> 大气环境保护目标一览表</w:t>
            </w:r>
          </w:p>
          <w:tbl>
            <w:tblPr>
              <w:tblStyle w:val="43"/>
              <w:tblW w:w="8343"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9"/>
              <w:gridCol w:w="1069"/>
              <w:gridCol w:w="1513"/>
              <w:gridCol w:w="737"/>
              <w:gridCol w:w="1321"/>
              <w:gridCol w:w="1389"/>
              <w:gridCol w:w="1745"/>
            </w:tblGrid>
            <w:tr w14:paraId="2FD118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38" w:type="dxa"/>
                  <w:gridSpan w:val="2"/>
                  <w:vMerge w:val="restart"/>
                  <w:tcBorders>
                    <w:tl2br w:val="nil"/>
                    <w:tr2bl w:val="nil"/>
                  </w:tcBorders>
                  <w:shd w:val="clear" w:color="auto" w:fill="auto"/>
                  <w:vAlign w:val="center"/>
                </w:tcPr>
                <w:p w14:paraId="6F5A968C">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名称</w:t>
                  </w:r>
                </w:p>
              </w:tc>
              <w:tc>
                <w:tcPr>
                  <w:tcW w:w="1513" w:type="dxa"/>
                  <w:vMerge w:val="restart"/>
                  <w:tcBorders>
                    <w:tl2br w:val="nil"/>
                    <w:tr2bl w:val="nil"/>
                  </w:tcBorders>
                  <w:shd w:val="clear" w:color="auto" w:fill="auto"/>
                  <w:vAlign w:val="center"/>
                </w:tcPr>
                <w:p w14:paraId="07F59EF4">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保护对象</w:t>
                  </w:r>
                </w:p>
              </w:tc>
              <w:tc>
                <w:tcPr>
                  <w:tcW w:w="737" w:type="dxa"/>
                  <w:vMerge w:val="restart"/>
                  <w:tcBorders>
                    <w:tl2br w:val="nil"/>
                    <w:tr2bl w:val="nil"/>
                  </w:tcBorders>
                  <w:shd w:val="clear" w:color="auto" w:fill="auto"/>
                  <w:vAlign w:val="center"/>
                </w:tcPr>
                <w:p w14:paraId="25560FFA">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保护内容</w:t>
                  </w:r>
                </w:p>
              </w:tc>
              <w:tc>
                <w:tcPr>
                  <w:tcW w:w="1321" w:type="dxa"/>
                  <w:vMerge w:val="restart"/>
                  <w:tcBorders>
                    <w:tl2br w:val="nil"/>
                    <w:tr2bl w:val="nil"/>
                  </w:tcBorders>
                  <w:shd w:val="clear" w:color="auto" w:fill="auto"/>
                  <w:vAlign w:val="center"/>
                </w:tcPr>
                <w:p w14:paraId="4765C2BB">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w:t>
                  </w:r>
                </w:p>
                <w:p w14:paraId="145F5D9D">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功能区</w:t>
                  </w:r>
                </w:p>
              </w:tc>
              <w:tc>
                <w:tcPr>
                  <w:tcW w:w="1389" w:type="dxa"/>
                  <w:vMerge w:val="restart"/>
                  <w:tcBorders>
                    <w:tl2br w:val="nil"/>
                    <w:tr2bl w:val="nil"/>
                  </w:tcBorders>
                  <w:shd w:val="clear" w:color="auto" w:fill="auto"/>
                  <w:vAlign w:val="center"/>
                </w:tcPr>
                <w:p w14:paraId="57CD8A60">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相对厂址方位</w:t>
                  </w:r>
                </w:p>
              </w:tc>
              <w:tc>
                <w:tcPr>
                  <w:tcW w:w="1745" w:type="dxa"/>
                  <w:vMerge w:val="restart"/>
                  <w:tcBorders>
                    <w:tl2br w:val="nil"/>
                    <w:tr2bl w:val="nil"/>
                  </w:tcBorders>
                  <w:shd w:val="clear" w:color="auto" w:fill="auto"/>
                  <w:vAlign w:val="center"/>
                </w:tcPr>
                <w:p w14:paraId="4990926B">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相对厂界距离</w:t>
                  </w:r>
                </w:p>
              </w:tc>
            </w:tr>
            <w:tr w14:paraId="523E26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638" w:type="dxa"/>
                  <w:gridSpan w:val="2"/>
                  <w:vMerge w:val="continue"/>
                  <w:tcBorders>
                    <w:tl2br w:val="nil"/>
                    <w:tr2bl w:val="nil"/>
                  </w:tcBorders>
                  <w:shd w:val="clear" w:color="auto" w:fill="auto"/>
                  <w:vAlign w:val="center"/>
                </w:tcPr>
                <w:p w14:paraId="6F567A19">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1513" w:type="dxa"/>
                  <w:vMerge w:val="continue"/>
                  <w:tcBorders>
                    <w:tl2br w:val="nil"/>
                    <w:tr2bl w:val="nil"/>
                  </w:tcBorders>
                  <w:shd w:val="clear" w:color="auto" w:fill="auto"/>
                  <w:vAlign w:val="center"/>
                </w:tcPr>
                <w:p w14:paraId="27E12DB5">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737" w:type="dxa"/>
                  <w:vMerge w:val="continue"/>
                  <w:tcBorders>
                    <w:tl2br w:val="nil"/>
                    <w:tr2bl w:val="nil"/>
                  </w:tcBorders>
                  <w:shd w:val="clear" w:color="auto" w:fill="auto"/>
                  <w:vAlign w:val="center"/>
                </w:tcPr>
                <w:p w14:paraId="7A77E348">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1321" w:type="dxa"/>
                  <w:vMerge w:val="continue"/>
                  <w:tcBorders>
                    <w:tl2br w:val="nil"/>
                    <w:tr2bl w:val="nil"/>
                  </w:tcBorders>
                  <w:shd w:val="clear" w:color="auto" w:fill="auto"/>
                  <w:vAlign w:val="center"/>
                </w:tcPr>
                <w:p w14:paraId="23DCEBFB">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1389" w:type="dxa"/>
                  <w:vMerge w:val="continue"/>
                  <w:tcBorders>
                    <w:tl2br w:val="nil"/>
                    <w:tr2bl w:val="nil"/>
                  </w:tcBorders>
                  <w:shd w:val="clear" w:color="auto" w:fill="auto"/>
                  <w:vAlign w:val="center"/>
                </w:tcPr>
                <w:p w14:paraId="382845A3">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1745" w:type="dxa"/>
                  <w:vMerge w:val="continue"/>
                  <w:tcBorders>
                    <w:tl2br w:val="nil"/>
                    <w:tr2bl w:val="nil"/>
                  </w:tcBorders>
                  <w:shd w:val="clear" w:color="auto" w:fill="auto"/>
                  <w:vAlign w:val="center"/>
                </w:tcPr>
                <w:p w14:paraId="77A415B1">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ascii="Times New Roman" w:hAnsi="Times New Roman" w:eastAsia="宋体" w:cs="Times New Roman"/>
                      <w:color w:val="auto"/>
                      <w:kern w:val="2"/>
                      <w:sz w:val="21"/>
                      <w:szCs w:val="21"/>
                      <w:highlight w:val="none"/>
                      <w:lang w:val="en-US" w:eastAsia="zh-CN" w:bidi="ar-SA"/>
                    </w:rPr>
                  </w:pPr>
                </w:p>
              </w:tc>
            </w:tr>
            <w:tr w14:paraId="39FE4A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69" w:type="dxa"/>
                  <w:tcBorders>
                    <w:tl2br w:val="nil"/>
                    <w:tr2bl w:val="nil"/>
                  </w:tcBorders>
                  <w:shd w:val="clear" w:color="auto" w:fill="auto"/>
                  <w:vAlign w:val="center"/>
                </w:tcPr>
                <w:p w14:paraId="2A16369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1069" w:type="dxa"/>
                  <w:tcBorders>
                    <w:tl2br w:val="nil"/>
                    <w:tr2bl w:val="nil"/>
                  </w:tcBorders>
                  <w:shd w:val="clear" w:color="auto" w:fill="auto"/>
                  <w:vAlign w:val="center"/>
                </w:tcPr>
                <w:p w14:paraId="0A106DB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满天红村</w:t>
                  </w:r>
                </w:p>
              </w:tc>
              <w:tc>
                <w:tcPr>
                  <w:tcW w:w="1513" w:type="dxa"/>
                  <w:vMerge w:val="restart"/>
                  <w:tcBorders>
                    <w:tl2br w:val="nil"/>
                    <w:tr2bl w:val="nil"/>
                  </w:tcBorders>
                  <w:shd w:val="clear" w:color="auto" w:fill="auto"/>
                  <w:vAlign w:val="center"/>
                </w:tcPr>
                <w:p w14:paraId="0B2F322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农村人群集中区</w:t>
                  </w:r>
                </w:p>
              </w:tc>
              <w:tc>
                <w:tcPr>
                  <w:tcW w:w="737" w:type="dxa"/>
                  <w:vMerge w:val="restart"/>
                  <w:tcBorders>
                    <w:tl2br w:val="nil"/>
                    <w:tr2bl w:val="nil"/>
                  </w:tcBorders>
                  <w:shd w:val="clear" w:color="auto" w:fill="auto"/>
                  <w:vAlign w:val="center"/>
                </w:tcPr>
                <w:p w14:paraId="628E193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人群</w:t>
                  </w:r>
                </w:p>
              </w:tc>
              <w:tc>
                <w:tcPr>
                  <w:tcW w:w="1321" w:type="dxa"/>
                  <w:vMerge w:val="restart"/>
                  <w:tcBorders>
                    <w:tl2br w:val="nil"/>
                    <w:tr2bl w:val="nil"/>
                  </w:tcBorders>
                  <w:shd w:val="clear" w:color="auto" w:fill="auto"/>
                  <w:vAlign w:val="center"/>
                </w:tcPr>
                <w:p w14:paraId="08B2D1D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二类区</w:t>
                  </w:r>
                </w:p>
              </w:tc>
              <w:tc>
                <w:tcPr>
                  <w:tcW w:w="1389" w:type="dxa"/>
                  <w:tcBorders>
                    <w:tl2br w:val="nil"/>
                    <w:tr2bl w:val="nil"/>
                  </w:tcBorders>
                  <w:shd w:val="clear" w:color="auto" w:fill="auto"/>
                  <w:vAlign w:val="center"/>
                </w:tcPr>
                <w:p w14:paraId="5C5F612E">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NE</w:t>
                  </w:r>
                </w:p>
              </w:tc>
              <w:tc>
                <w:tcPr>
                  <w:tcW w:w="1745" w:type="dxa"/>
                  <w:tcBorders>
                    <w:tl2br w:val="nil"/>
                    <w:tr2bl w:val="nil"/>
                  </w:tcBorders>
                  <w:shd w:val="clear" w:color="auto" w:fill="auto"/>
                  <w:vAlign w:val="center"/>
                </w:tcPr>
                <w:p w14:paraId="6C354118">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约30</w:t>
                  </w:r>
                  <w:r>
                    <w:rPr>
                      <w:rFonts w:hint="eastAsia"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rPr>
                    <w:t>m</w:t>
                  </w:r>
                </w:p>
              </w:tc>
            </w:tr>
            <w:tr w14:paraId="00D6E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569" w:type="dxa"/>
                  <w:vMerge w:val="restart"/>
                  <w:tcBorders>
                    <w:tl2br w:val="nil"/>
                    <w:tr2bl w:val="nil"/>
                  </w:tcBorders>
                  <w:shd w:val="clear" w:color="auto" w:fill="auto"/>
                  <w:vAlign w:val="center"/>
                </w:tcPr>
                <w:p w14:paraId="0CFD321A">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1069" w:type="dxa"/>
                  <w:vMerge w:val="restart"/>
                  <w:tcBorders>
                    <w:tl2br w:val="nil"/>
                    <w:tr2bl w:val="nil"/>
                  </w:tcBorders>
                  <w:shd w:val="clear" w:color="auto" w:fill="auto"/>
                  <w:vAlign w:val="center"/>
                </w:tcPr>
                <w:p w14:paraId="12E407F1">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阳景村</w:t>
                  </w:r>
                </w:p>
              </w:tc>
              <w:tc>
                <w:tcPr>
                  <w:tcW w:w="1513" w:type="dxa"/>
                  <w:vMerge w:val="continue"/>
                  <w:tcBorders>
                    <w:tl2br w:val="nil"/>
                    <w:tr2bl w:val="nil"/>
                  </w:tcBorders>
                  <w:shd w:val="clear" w:color="auto" w:fill="auto"/>
                  <w:vAlign w:val="center"/>
                </w:tcPr>
                <w:p w14:paraId="683B0236">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rPr>
                  </w:pPr>
                </w:p>
              </w:tc>
              <w:tc>
                <w:tcPr>
                  <w:tcW w:w="737" w:type="dxa"/>
                  <w:vMerge w:val="continue"/>
                  <w:tcBorders>
                    <w:tl2br w:val="nil"/>
                    <w:tr2bl w:val="nil"/>
                  </w:tcBorders>
                  <w:shd w:val="clear" w:color="auto" w:fill="auto"/>
                  <w:vAlign w:val="center"/>
                </w:tcPr>
                <w:p w14:paraId="0E8B4B6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21" w:type="dxa"/>
                  <w:vMerge w:val="continue"/>
                  <w:tcBorders>
                    <w:tl2br w:val="nil"/>
                    <w:tr2bl w:val="nil"/>
                  </w:tcBorders>
                  <w:shd w:val="clear" w:color="auto" w:fill="auto"/>
                  <w:vAlign w:val="center"/>
                </w:tcPr>
                <w:p w14:paraId="70CCDC23">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89" w:type="dxa"/>
                  <w:tcBorders>
                    <w:tl2br w:val="nil"/>
                    <w:tr2bl w:val="nil"/>
                  </w:tcBorders>
                  <w:shd w:val="clear" w:color="auto" w:fill="auto"/>
                  <w:vAlign w:val="center"/>
                </w:tcPr>
                <w:p w14:paraId="7C4307D4">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S</w:t>
                  </w:r>
                </w:p>
              </w:tc>
              <w:tc>
                <w:tcPr>
                  <w:tcW w:w="1745" w:type="dxa"/>
                  <w:tcBorders>
                    <w:tl2br w:val="nil"/>
                    <w:tr2bl w:val="nil"/>
                  </w:tcBorders>
                  <w:shd w:val="clear" w:color="auto" w:fill="auto"/>
                  <w:vAlign w:val="center"/>
                </w:tcPr>
                <w:p w14:paraId="1D76F305">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约30m</w:t>
                  </w:r>
                </w:p>
              </w:tc>
            </w:tr>
            <w:tr w14:paraId="30F280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569" w:type="dxa"/>
                  <w:vMerge w:val="continue"/>
                  <w:tcBorders>
                    <w:tl2br w:val="nil"/>
                    <w:tr2bl w:val="nil"/>
                  </w:tcBorders>
                  <w:shd w:val="clear" w:color="auto" w:fill="auto"/>
                  <w:vAlign w:val="center"/>
                </w:tcPr>
                <w:p w14:paraId="377535CF">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color w:val="auto"/>
                      <w:sz w:val="21"/>
                      <w:szCs w:val="21"/>
                      <w:highlight w:val="none"/>
                      <w:lang w:val="en-US" w:eastAsia="zh-CN"/>
                    </w:rPr>
                  </w:pPr>
                </w:p>
              </w:tc>
              <w:tc>
                <w:tcPr>
                  <w:tcW w:w="1069" w:type="dxa"/>
                  <w:vMerge w:val="continue"/>
                  <w:tcBorders>
                    <w:tl2br w:val="nil"/>
                    <w:tr2bl w:val="nil"/>
                  </w:tcBorders>
                  <w:shd w:val="clear" w:color="auto" w:fill="auto"/>
                  <w:vAlign w:val="center"/>
                </w:tcPr>
                <w:p w14:paraId="63317074">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color w:val="auto"/>
                      <w:sz w:val="21"/>
                      <w:szCs w:val="21"/>
                      <w:highlight w:val="none"/>
                      <w:lang w:val="en-US" w:eastAsia="zh-CN"/>
                    </w:rPr>
                  </w:pPr>
                </w:p>
              </w:tc>
              <w:tc>
                <w:tcPr>
                  <w:tcW w:w="1513" w:type="dxa"/>
                  <w:vMerge w:val="continue"/>
                  <w:tcBorders>
                    <w:tl2br w:val="nil"/>
                    <w:tr2bl w:val="nil"/>
                  </w:tcBorders>
                  <w:shd w:val="clear" w:color="auto" w:fill="auto"/>
                  <w:vAlign w:val="center"/>
                </w:tcPr>
                <w:p w14:paraId="2C62D379">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rPr>
                  </w:pPr>
                </w:p>
              </w:tc>
              <w:tc>
                <w:tcPr>
                  <w:tcW w:w="737" w:type="dxa"/>
                  <w:vMerge w:val="continue"/>
                  <w:tcBorders>
                    <w:tl2br w:val="nil"/>
                    <w:tr2bl w:val="nil"/>
                  </w:tcBorders>
                  <w:shd w:val="clear" w:color="auto" w:fill="auto"/>
                  <w:vAlign w:val="center"/>
                </w:tcPr>
                <w:p w14:paraId="01A3CADA">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21" w:type="dxa"/>
                  <w:vMerge w:val="continue"/>
                  <w:tcBorders>
                    <w:tl2br w:val="nil"/>
                    <w:tr2bl w:val="nil"/>
                  </w:tcBorders>
                  <w:shd w:val="clear" w:color="auto" w:fill="auto"/>
                  <w:vAlign w:val="center"/>
                </w:tcPr>
                <w:p w14:paraId="5EBEFF9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sz w:val="21"/>
                      <w:szCs w:val="21"/>
                      <w:highlight w:val="none"/>
                      <w:lang w:val="en-US" w:eastAsia="zh-CN"/>
                    </w:rPr>
                  </w:pPr>
                </w:p>
              </w:tc>
              <w:tc>
                <w:tcPr>
                  <w:tcW w:w="1389" w:type="dxa"/>
                  <w:tcBorders>
                    <w:tl2br w:val="nil"/>
                    <w:tr2bl w:val="nil"/>
                  </w:tcBorders>
                  <w:shd w:val="clear" w:color="auto" w:fill="auto"/>
                  <w:vAlign w:val="center"/>
                </w:tcPr>
                <w:p w14:paraId="2FA7B2E7">
                  <w:pPr>
                    <w:keepNext w:val="0"/>
                    <w:keepLines w:val="0"/>
                    <w:pageBreakBefore w:val="0"/>
                    <w:widowControl w:val="0"/>
                    <w:kinsoku/>
                    <w:wordWrap/>
                    <w:overflowPunct/>
                    <w:topLinePunct w:val="0"/>
                    <w:autoSpaceDE/>
                    <w:autoSpaceDN/>
                    <w:bidi w:val="0"/>
                    <w:adjustRightInd/>
                    <w:snapToGrid/>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E</w:t>
                  </w:r>
                </w:p>
              </w:tc>
              <w:tc>
                <w:tcPr>
                  <w:tcW w:w="1745" w:type="dxa"/>
                  <w:tcBorders>
                    <w:tl2br w:val="nil"/>
                    <w:tr2bl w:val="nil"/>
                  </w:tcBorders>
                  <w:shd w:val="clear" w:color="auto" w:fill="auto"/>
                  <w:vAlign w:val="center"/>
                </w:tcPr>
                <w:p w14:paraId="72826712">
                  <w:pPr>
                    <w:keepNext w:val="0"/>
                    <w:keepLines w:val="0"/>
                    <w:pageBreakBefore w:val="0"/>
                    <w:widowControl w:val="0"/>
                    <w:kinsoku/>
                    <w:wordWrap/>
                    <w:overflowPunct/>
                    <w:topLinePunct w:val="0"/>
                    <w:autoSpaceDE/>
                    <w:autoSpaceDN/>
                    <w:bidi w:val="0"/>
                    <w:adjustRightInd/>
                    <w:snapToGrid/>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约30m</w:t>
                  </w:r>
                </w:p>
              </w:tc>
            </w:tr>
          </w:tbl>
          <w:p w14:paraId="071B6D55">
            <w:pPr>
              <w:pStyle w:val="1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eastAsia" w:ascii="Times New Roman" w:hAnsi="Times New Roman" w:eastAsia="宋体" w:cs="Times New Roman"/>
                <w:b/>
                <w:bCs/>
                <w:color w:val="auto"/>
                <w:sz w:val="21"/>
                <w:szCs w:val="21"/>
                <w:highlight w:val="none"/>
                <w:lang w:val="en-US" w:eastAsia="zh-CN"/>
              </w:rPr>
            </w:pPr>
          </w:p>
          <w:p w14:paraId="4D32C6AB">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bCs/>
                <w:color w:val="auto"/>
                <w:sz w:val="21"/>
                <w:highlight w:val="none"/>
              </w:rPr>
            </w:pPr>
            <w:r>
              <w:rPr>
                <w:rFonts w:hint="default" w:ascii="Times New Roman" w:hAnsi="Times New Roman" w:eastAsia="宋体" w:cs="Times New Roman"/>
                <w:b/>
                <w:bCs/>
                <w:color w:val="auto"/>
                <w:sz w:val="21"/>
                <w:highlight w:val="none"/>
              </w:rPr>
              <w:t>2、声环境保护目标</w:t>
            </w:r>
          </w:p>
          <w:p w14:paraId="79A5FFB5">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bCs/>
                <w:color w:val="auto"/>
                <w:sz w:val="21"/>
                <w:highlight w:val="none"/>
              </w:rPr>
            </w:pPr>
            <w:r>
              <w:rPr>
                <w:rFonts w:hint="default" w:ascii="Times New Roman" w:hAnsi="Times New Roman" w:eastAsia="宋体" w:cs="Times New Roman"/>
                <w:color w:val="auto"/>
                <w:sz w:val="21"/>
                <w:highlight w:val="none"/>
              </w:rPr>
              <w:t>本项目厂界外</w:t>
            </w:r>
            <w:r>
              <w:rPr>
                <w:rFonts w:hint="eastAsia" w:cs="Times New Roman"/>
                <w:color w:val="auto"/>
                <w:sz w:val="21"/>
                <w:highlight w:val="none"/>
                <w:lang w:val="en-US" w:eastAsia="zh-CN"/>
              </w:rPr>
              <w:t>50</w:t>
            </w:r>
            <w:r>
              <w:rPr>
                <w:rFonts w:hint="eastAsia" w:cs="Times New Roman"/>
                <w:color w:val="auto"/>
                <w:sz w:val="21"/>
                <w:highlight w:val="none"/>
                <w:lang w:eastAsia="zh-CN"/>
              </w:rPr>
              <w:t>m</w:t>
            </w:r>
            <w:r>
              <w:rPr>
                <w:rFonts w:hint="default" w:ascii="Times New Roman" w:hAnsi="Times New Roman" w:eastAsia="宋体" w:cs="Times New Roman"/>
                <w:color w:val="auto"/>
                <w:sz w:val="21"/>
                <w:highlight w:val="none"/>
              </w:rPr>
              <w:t>范围内</w:t>
            </w:r>
            <w:r>
              <w:rPr>
                <w:rFonts w:hint="default" w:ascii="Times New Roman" w:hAnsi="Times New Roman" w:eastAsia="宋体" w:cs="Times New Roman"/>
                <w:color w:val="auto"/>
                <w:sz w:val="21"/>
                <w:highlight w:val="none"/>
                <w:lang w:val="en-US" w:eastAsia="zh-CN"/>
              </w:rPr>
              <w:t>声</w:t>
            </w:r>
            <w:r>
              <w:rPr>
                <w:rFonts w:hint="default" w:ascii="Times New Roman" w:hAnsi="Times New Roman" w:eastAsia="宋体" w:cs="Times New Roman"/>
                <w:color w:val="auto"/>
                <w:sz w:val="21"/>
                <w:highlight w:val="none"/>
              </w:rPr>
              <w:t>环境保护目标</w:t>
            </w:r>
            <w:r>
              <w:rPr>
                <w:rFonts w:hint="default" w:ascii="Times New Roman" w:hAnsi="Times New Roman" w:eastAsia="宋体" w:cs="Times New Roman"/>
                <w:color w:val="auto"/>
                <w:sz w:val="21"/>
                <w:highlight w:val="none"/>
                <w:lang w:val="en-US" w:eastAsia="zh-CN"/>
              </w:rPr>
              <w:t>见下表</w:t>
            </w:r>
            <w:r>
              <w:rPr>
                <w:rFonts w:hint="default" w:ascii="Times New Roman" w:hAnsi="Times New Roman" w:eastAsia="宋体" w:cs="Times New Roman"/>
                <w:color w:val="auto"/>
                <w:sz w:val="21"/>
                <w:highlight w:val="none"/>
              </w:rPr>
              <w:t>。</w:t>
            </w:r>
          </w:p>
          <w:p w14:paraId="27716D81">
            <w:pPr>
              <w:snapToGrid w:val="0"/>
              <w:jc w:val="center"/>
              <w:outlineLvl w:val="9"/>
              <w:rPr>
                <w:rFonts w:hint="default" w:ascii="Times New Roman" w:hAnsi="Times New Roman" w:eastAsia="宋体" w:cs="Times New Roman"/>
                <w:b/>
                <w:snapToGrid w:val="0"/>
                <w:color w:val="auto"/>
                <w:sz w:val="21"/>
                <w:szCs w:val="21"/>
                <w:highlight w:val="none"/>
              </w:rPr>
            </w:pPr>
            <w:r>
              <w:rPr>
                <w:rFonts w:hint="default" w:ascii="Times New Roman" w:hAnsi="Times New Roman" w:eastAsia="宋体" w:cs="Times New Roman"/>
                <w:b/>
                <w:snapToGrid w:val="0"/>
                <w:color w:val="auto"/>
                <w:sz w:val="21"/>
                <w:szCs w:val="21"/>
                <w:highlight w:val="none"/>
              </w:rPr>
              <w:t>表3-</w:t>
            </w:r>
            <w:r>
              <w:rPr>
                <w:rFonts w:hint="eastAsia" w:cs="Times New Roman"/>
                <w:b/>
                <w:snapToGrid w:val="0"/>
                <w:color w:val="auto"/>
                <w:sz w:val="21"/>
                <w:szCs w:val="21"/>
                <w:highlight w:val="none"/>
                <w:lang w:val="en-US" w:eastAsia="zh-CN"/>
              </w:rPr>
              <w:t>4</w:t>
            </w:r>
            <w:r>
              <w:rPr>
                <w:rFonts w:hint="default" w:ascii="Times New Roman" w:hAnsi="Times New Roman" w:eastAsia="宋体" w:cs="Times New Roman"/>
                <w:b/>
                <w:snapToGrid w:val="0"/>
                <w:color w:val="auto"/>
                <w:sz w:val="21"/>
                <w:szCs w:val="21"/>
                <w:highlight w:val="none"/>
              </w:rPr>
              <w:t xml:space="preserve"> 声环境保护目标一览表</w:t>
            </w:r>
          </w:p>
          <w:tbl>
            <w:tblPr>
              <w:tblStyle w:val="42"/>
              <w:tblW w:w="478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357"/>
              <w:gridCol w:w="1218"/>
              <w:gridCol w:w="978"/>
              <w:gridCol w:w="917"/>
              <w:gridCol w:w="1197"/>
              <w:gridCol w:w="2340"/>
            </w:tblGrid>
            <w:tr w14:paraId="0F20AD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6" w:hRule="atLeast"/>
                <w:jc w:val="center"/>
              </w:trPr>
              <w:tc>
                <w:tcPr>
                  <w:tcW w:w="847" w:type="pct"/>
                  <w:noWrap w:val="0"/>
                  <w:vAlign w:val="center"/>
                </w:tcPr>
                <w:p w14:paraId="0FC293E1">
                  <w:pPr>
                    <w:pStyle w:val="54"/>
                    <w:snapToGrid w:val="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环境要素</w:t>
                  </w:r>
                </w:p>
              </w:tc>
              <w:tc>
                <w:tcPr>
                  <w:tcW w:w="760" w:type="pct"/>
                  <w:noWrap w:val="0"/>
                  <w:vAlign w:val="center"/>
                </w:tcPr>
                <w:p w14:paraId="545F24F0">
                  <w:pPr>
                    <w:pStyle w:val="54"/>
                    <w:snapToGrid w:val="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保护对象</w:t>
                  </w:r>
                </w:p>
              </w:tc>
              <w:tc>
                <w:tcPr>
                  <w:tcW w:w="610" w:type="pct"/>
                  <w:noWrap w:val="0"/>
                  <w:vAlign w:val="center"/>
                </w:tcPr>
                <w:p w14:paraId="0EE401F7">
                  <w:pPr>
                    <w:pStyle w:val="54"/>
                    <w:snapToGrid w:val="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名称</w:t>
                  </w:r>
                </w:p>
              </w:tc>
              <w:tc>
                <w:tcPr>
                  <w:tcW w:w="572" w:type="pct"/>
                  <w:noWrap w:val="0"/>
                  <w:vAlign w:val="center"/>
                </w:tcPr>
                <w:p w14:paraId="4C9074E6">
                  <w:pPr>
                    <w:pStyle w:val="54"/>
                    <w:snapToGrid w:val="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方位</w:t>
                  </w:r>
                </w:p>
              </w:tc>
              <w:tc>
                <w:tcPr>
                  <w:tcW w:w="747" w:type="pct"/>
                  <w:noWrap w:val="0"/>
                  <w:vAlign w:val="center"/>
                </w:tcPr>
                <w:p w14:paraId="566480DB">
                  <w:pPr>
                    <w:pStyle w:val="54"/>
                    <w:snapToGrid w:val="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距离</w:t>
                  </w:r>
                </w:p>
              </w:tc>
              <w:tc>
                <w:tcPr>
                  <w:tcW w:w="1461" w:type="pct"/>
                  <w:noWrap w:val="0"/>
                  <w:vAlign w:val="center"/>
                </w:tcPr>
                <w:p w14:paraId="4EFC8507">
                  <w:pPr>
                    <w:pStyle w:val="54"/>
                    <w:snapToGrid w:val="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sz w:val="21"/>
                      <w:szCs w:val="21"/>
                      <w:highlight w:val="none"/>
                      <w:lang w:eastAsia="zh-CN"/>
                    </w:rPr>
                    <w:t>执行标准/功能区类别</w:t>
                  </w:r>
                </w:p>
              </w:tc>
            </w:tr>
            <w:tr w14:paraId="0DD883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42" w:hRule="atLeast"/>
                <w:jc w:val="center"/>
              </w:trPr>
              <w:tc>
                <w:tcPr>
                  <w:tcW w:w="847" w:type="pct"/>
                  <w:vMerge w:val="restart"/>
                  <w:noWrap w:val="0"/>
                  <w:vAlign w:val="center"/>
                </w:tcPr>
                <w:p w14:paraId="3DEEF2AE">
                  <w:pPr>
                    <w:pStyle w:val="54"/>
                    <w:snapToGrid w:val="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声环境</w:t>
                  </w:r>
                </w:p>
              </w:tc>
              <w:tc>
                <w:tcPr>
                  <w:tcW w:w="760" w:type="pct"/>
                  <w:vMerge w:val="restart"/>
                  <w:noWrap w:val="0"/>
                  <w:vAlign w:val="center"/>
                </w:tcPr>
                <w:p w14:paraId="13F364F3">
                  <w:pPr>
                    <w:pStyle w:val="54"/>
                    <w:snapToGrid w:val="0"/>
                    <w:jc w:val="center"/>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区域声环境</w:t>
                  </w:r>
                </w:p>
              </w:tc>
              <w:tc>
                <w:tcPr>
                  <w:tcW w:w="610" w:type="pct"/>
                  <w:vMerge w:val="restart"/>
                  <w:noWrap w:val="0"/>
                  <w:vAlign w:val="center"/>
                </w:tcPr>
                <w:p w14:paraId="2ABFAE26">
                  <w:pPr>
                    <w:pStyle w:val="54"/>
                    <w:snapToGrid w:val="0"/>
                    <w:jc w:val="center"/>
                    <w:textAlignment w:val="auto"/>
                    <w:outlineLvl w:val="9"/>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cs="Times New Roman"/>
                      <w:color w:val="auto"/>
                      <w:sz w:val="21"/>
                      <w:szCs w:val="21"/>
                      <w:highlight w:val="none"/>
                      <w:lang w:val="en-US" w:eastAsia="zh-CN" w:bidi="ar-SA"/>
                    </w:rPr>
                    <w:t>阳景村</w:t>
                  </w:r>
                </w:p>
              </w:tc>
              <w:tc>
                <w:tcPr>
                  <w:tcW w:w="572" w:type="pct"/>
                  <w:shd w:val="clear" w:color="auto" w:fill="auto"/>
                  <w:noWrap w:val="0"/>
                  <w:vAlign w:val="center"/>
                </w:tcPr>
                <w:p w14:paraId="6FB96DA6">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S</w:t>
                  </w:r>
                </w:p>
              </w:tc>
              <w:tc>
                <w:tcPr>
                  <w:tcW w:w="747" w:type="pct"/>
                  <w:shd w:val="clear" w:color="auto" w:fill="auto"/>
                  <w:noWrap w:val="0"/>
                  <w:vAlign w:val="center"/>
                </w:tcPr>
                <w:p w14:paraId="4F19CCB6">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约30m</w:t>
                  </w:r>
                </w:p>
              </w:tc>
              <w:tc>
                <w:tcPr>
                  <w:tcW w:w="1461" w:type="pct"/>
                  <w:vMerge w:val="restart"/>
                  <w:noWrap w:val="0"/>
                  <w:vAlign w:val="center"/>
                </w:tcPr>
                <w:p w14:paraId="12645569">
                  <w:pPr>
                    <w:pStyle w:val="54"/>
                    <w:snapToGrid w:val="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《声环境质量标准》(GB3096-2008)</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类</w:t>
                  </w:r>
                  <w:r>
                    <w:rPr>
                      <w:rFonts w:hint="default" w:ascii="Times New Roman" w:hAnsi="Times New Roman" w:eastAsia="宋体" w:cs="Times New Roman"/>
                      <w:color w:val="auto"/>
                      <w:sz w:val="21"/>
                      <w:szCs w:val="21"/>
                      <w:highlight w:val="none"/>
                      <w:lang w:val="en-US" w:eastAsia="zh-CN"/>
                    </w:rPr>
                    <w:t>区标准</w:t>
                  </w:r>
                </w:p>
              </w:tc>
            </w:tr>
            <w:tr w14:paraId="559471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95" w:hRule="atLeast"/>
                <w:jc w:val="center"/>
              </w:trPr>
              <w:tc>
                <w:tcPr>
                  <w:tcW w:w="847" w:type="pct"/>
                  <w:vMerge w:val="continue"/>
                  <w:noWrap w:val="0"/>
                  <w:vAlign w:val="center"/>
                </w:tcPr>
                <w:p w14:paraId="1229B58A">
                  <w:pPr>
                    <w:pStyle w:val="54"/>
                    <w:snapToGrid w:val="0"/>
                    <w:jc w:val="center"/>
                    <w:textAlignment w:val="auto"/>
                    <w:outlineLvl w:val="9"/>
                    <w:rPr>
                      <w:rFonts w:hint="default" w:ascii="Times New Roman" w:hAnsi="Times New Roman" w:eastAsia="宋体" w:cs="Times New Roman"/>
                      <w:color w:val="auto"/>
                      <w:sz w:val="21"/>
                      <w:szCs w:val="21"/>
                      <w:highlight w:val="none"/>
                    </w:rPr>
                  </w:pPr>
                </w:p>
              </w:tc>
              <w:tc>
                <w:tcPr>
                  <w:tcW w:w="760" w:type="pct"/>
                  <w:vMerge w:val="continue"/>
                  <w:noWrap w:val="0"/>
                  <w:vAlign w:val="center"/>
                </w:tcPr>
                <w:p w14:paraId="688CC80A">
                  <w:pPr>
                    <w:pStyle w:val="54"/>
                    <w:snapToGrid w:val="0"/>
                    <w:jc w:val="center"/>
                    <w:textAlignment w:val="auto"/>
                    <w:outlineLvl w:val="9"/>
                    <w:rPr>
                      <w:rFonts w:hint="default" w:ascii="Times New Roman" w:hAnsi="Times New Roman" w:eastAsia="宋体" w:cs="Times New Roman"/>
                      <w:color w:val="auto"/>
                      <w:sz w:val="21"/>
                      <w:szCs w:val="21"/>
                      <w:highlight w:val="none"/>
                    </w:rPr>
                  </w:pPr>
                </w:p>
              </w:tc>
              <w:tc>
                <w:tcPr>
                  <w:tcW w:w="610" w:type="pct"/>
                  <w:vMerge w:val="continue"/>
                  <w:noWrap w:val="0"/>
                  <w:vAlign w:val="center"/>
                </w:tcPr>
                <w:p w14:paraId="55E86923">
                  <w:pPr>
                    <w:pStyle w:val="54"/>
                    <w:snapToGrid w:val="0"/>
                    <w:jc w:val="center"/>
                    <w:textAlignment w:val="auto"/>
                    <w:outlineLvl w:val="9"/>
                    <w:rPr>
                      <w:rFonts w:hint="eastAsia" w:ascii="Times New Roman" w:hAnsi="Times New Roman" w:cs="Times New Roman"/>
                      <w:color w:val="auto"/>
                      <w:sz w:val="21"/>
                      <w:szCs w:val="21"/>
                      <w:highlight w:val="none"/>
                      <w:lang w:val="en-US" w:eastAsia="zh-CN" w:bidi="ar-SA"/>
                    </w:rPr>
                  </w:pPr>
                </w:p>
              </w:tc>
              <w:tc>
                <w:tcPr>
                  <w:tcW w:w="572" w:type="pct"/>
                  <w:shd w:val="clear" w:color="auto" w:fill="auto"/>
                  <w:noWrap w:val="0"/>
                  <w:vAlign w:val="center"/>
                </w:tcPr>
                <w:p w14:paraId="6AE69E78">
                  <w:pPr>
                    <w:jc w:val="center"/>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E</w:t>
                  </w:r>
                </w:p>
              </w:tc>
              <w:tc>
                <w:tcPr>
                  <w:tcW w:w="747" w:type="pct"/>
                  <w:shd w:val="clear" w:color="auto" w:fill="auto"/>
                  <w:noWrap w:val="0"/>
                  <w:vAlign w:val="center"/>
                </w:tcPr>
                <w:p w14:paraId="73124254">
                  <w:pPr>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约30m</w:t>
                  </w:r>
                </w:p>
              </w:tc>
              <w:tc>
                <w:tcPr>
                  <w:tcW w:w="1461" w:type="pct"/>
                  <w:vMerge w:val="continue"/>
                  <w:noWrap w:val="0"/>
                  <w:vAlign w:val="center"/>
                </w:tcPr>
                <w:p w14:paraId="3A2237A9">
                  <w:pPr>
                    <w:pStyle w:val="54"/>
                    <w:snapToGrid w:val="0"/>
                    <w:jc w:val="center"/>
                    <w:textAlignment w:val="auto"/>
                    <w:outlineLvl w:val="9"/>
                    <w:rPr>
                      <w:rFonts w:hint="default" w:ascii="Times New Roman" w:hAnsi="Times New Roman" w:eastAsia="宋体" w:cs="Times New Roman"/>
                      <w:color w:val="auto"/>
                      <w:sz w:val="21"/>
                      <w:szCs w:val="21"/>
                      <w:highlight w:val="none"/>
                    </w:rPr>
                  </w:pPr>
                </w:p>
              </w:tc>
            </w:tr>
          </w:tbl>
          <w:p w14:paraId="75430ADF">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宋体" w:cs="Times New Roman"/>
                <w:b/>
                <w:bCs/>
                <w:color w:val="auto"/>
                <w:sz w:val="21"/>
                <w:highlight w:val="none"/>
              </w:rPr>
            </w:pPr>
          </w:p>
          <w:p w14:paraId="77A32589">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bCs/>
                <w:color w:val="auto"/>
                <w:sz w:val="21"/>
                <w:highlight w:val="none"/>
              </w:rPr>
            </w:pPr>
            <w:r>
              <w:rPr>
                <w:rFonts w:hint="default" w:ascii="Times New Roman" w:hAnsi="Times New Roman" w:eastAsia="宋体" w:cs="Times New Roman"/>
                <w:b/>
                <w:bCs/>
                <w:color w:val="auto"/>
                <w:sz w:val="21"/>
                <w:highlight w:val="none"/>
              </w:rPr>
              <w:t>3、地下水环境保护目标</w:t>
            </w:r>
          </w:p>
          <w:p w14:paraId="16DA9055">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eastAsia="zh-CN"/>
              </w:rPr>
              <w:t>厂界外500米范围内无地下水集中式饮用水水源和热水、矿泉水、温泉等特殊地下水资</w:t>
            </w:r>
            <w:r>
              <w:rPr>
                <w:rFonts w:hint="default" w:ascii="Times New Roman" w:hAnsi="Times New Roman" w:eastAsia="宋体" w:cs="Times New Roman"/>
                <w:color w:val="auto"/>
                <w:sz w:val="21"/>
                <w:highlight w:val="none"/>
                <w:lang w:val="en-US" w:eastAsia="zh-CN"/>
              </w:rPr>
              <w:t>源，无地下水环境保护目标。</w:t>
            </w:r>
          </w:p>
          <w:p w14:paraId="420EE726">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bCs/>
                <w:color w:val="auto"/>
                <w:sz w:val="21"/>
                <w:highlight w:val="none"/>
              </w:rPr>
            </w:pPr>
            <w:r>
              <w:rPr>
                <w:rFonts w:hint="default" w:ascii="Times New Roman" w:hAnsi="Times New Roman" w:eastAsia="宋体" w:cs="Times New Roman"/>
                <w:b/>
                <w:bCs/>
                <w:color w:val="auto"/>
                <w:sz w:val="21"/>
                <w:highlight w:val="none"/>
              </w:rPr>
              <w:t>4、生态环境保护目标</w:t>
            </w:r>
          </w:p>
          <w:p w14:paraId="7779B26E">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cs="Times New Roman" w:eastAsiaTheme="minorEastAsia"/>
                <w:color w:val="auto"/>
                <w:kern w:val="0"/>
                <w:sz w:val="21"/>
                <w:szCs w:val="21"/>
                <w:highlight w:val="none"/>
              </w:rPr>
              <w:t>本项目用地为</w:t>
            </w:r>
            <w:r>
              <w:rPr>
                <w:rFonts w:hint="eastAsia" w:cs="Times New Roman" w:eastAsiaTheme="minorEastAsia"/>
                <w:color w:val="auto"/>
                <w:kern w:val="0"/>
                <w:sz w:val="21"/>
                <w:szCs w:val="21"/>
                <w:highlight w:val="none"/>
                <w:lang w:val="en-US" w:eastAsia="zh-CN"/>
              </w:rPr>
              <w:t>商服</w:t>
            </w:r>
            <w:r>
              <w:rPr>
                <w:rFonts w:hint="default" w:ascii="Times New Roman" w:hAnsi="Times New Roman" w:cs="Times New Roman" w:eastAsiaTheme="minorEastAsia"/>
                <w:color w:val="auto"/>
                <w:kern w:val="0"/>
                <w:sz w:val="21"/>
                <w:szCs w:val="21"/>
                <w:highlight w:val="none"/>
              </w:rPr>
              <w:t>用地，用地范围内无生态环境保护目标。</w:t>
            </w:r>
          </w:p>
        </w:tc>
      </w:tr>
      <w:tr w14:paraId="0FED6B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484" w:type="dxa"/>
            <w:noWrap w:val="0"/>
            <w:tcMar>
              <w:left w:w="28" w:type="dxa"/>
              <w:right w:w="28" w:type="dxa"/>
            </w:tcMar>
            <w:vAlign w:val="center"/>
          </w:tcPr>
          <w:p w14:paraId="5795DAB0">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污染</w:t>
            </w:r>
          </w:p>
          <w:p w14:paraId="3668B0B5">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物排</w:t>
            </w:r>
          </w:p>
          <w:p w14:paraId="2729EAE1">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放控</w:t>
            </w:r>
          </w:p>
          <w:p w14:paraId="38A38E26">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制标</w:t>
            </w:r>
          </w:p>
          <w:p w14:paraId="3103C755">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准</w:t>
            </w:r>
          </w:p>
        </w:tc>
        <w:tc>
          <w:tcPr>
            <w:tcW w:w="8577" w:type="dxa"/>
            <w:noWrap w:val="0"/>
            <w:vAlign w:val="center"/>
          </w:tcPr>
          <w:p w14:paraId="2323B0A8">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bCs/>
                <w:color w:val="auto"/>
                <w:sz w:val="21"/>
                <w:highlight w:val="none"/>
                <w:lang w:val="en-US" w:eastAsia="zh-CN"/>
              </w:rPr>
            </w:pPr>
            <w:r>
              <w:rPr>
                <w:rFonts w:hint="default" w:ascii="Times New Roman" w:hAnsi="Times New Roman" w:eastAsia="宋体" w:cs="Times New Roman"/>
                <w:b/>
                <w:bCs/>
                <w:color w:val="auto"/>
                <w:sz w:val="21"/>
                <w:highlight w:val="none"/>
                <w:lang w:val="en-US" w:eastAsia="zh-CN"/>
              </w:rPr>
              <w:t>1</w:t>
            </w:r>
            <w:r>
              <w:rPr>
                <w:rFonts w:hint="default" w:ascii="Times New Roman" w:hAnsi="Times New Roman" w:eastAsia="宋体" w:cs="Times New Roman"/>
                <w:b/>
                <w:bCs/>
                <w:color w:val="auto"/>
                <w:sz w:val="21"/>
                <w:highlight w:val="none"/>
              </w:rPr>
              <w:t>、</w:t>
            </w:r>
            <w:r>
              <w:rPr>
                <w:rFonts w:hint="default" w:ascii="Times New Roman" w:hAnsi="Times New Roman" w:eastAsia="宋体" w:cs="Times New Roman"/>
                <w:b/>
                <w:bCs/>
                <w:color w:val="auto"/>
                <w:sz w:val="21"/>
                <w:highlight w:val="none"/>
                <w:lang w:val="en-US" w:eastAsia="zh-CN"/>
              </w:rPr>
              <w:t>废气</w:t>
            </w:r>
          </w:p>
          <w:p w14:paraId="5158DBF2">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szCs w:val="22"/>
                <w:highlight w:val="none"/>
              </w:rPr>
              <w:t>运营期无组织颗粒物执行《大气污染物综合排放标准》（GB16297-1996）</w:t>
            </w:r>
            <w:r>
              <w:rPr>
                <w:rFonts w:hint="default" w:ascii="Times New Roman" w:hAnsi="Times New Roman" w:eastAsia="宋体" w:cs="Times New Roman"/>
                <w:bCs/>
                <w:color w:val="auto"/>
                <w:sz w:val="21"/>
                <w:szCs w:val="21"/>
                <w:highlight w:val="none"/>
              </w:rPr>
              <w:t>表2中无组织排放监控浓度限值</w:t>
            </w:r>
            <w:r>
              <w:rPr>
                <w:rFonts w:hint="default" w:ascii="Times New Roman" w:hAnsi="Times New Roman" w:eastAsia="宋体" w:cs="Times New Roman"/>
                <w:color w:val="auto"/>
                <w:sz w:val="21"/>
                <w:szCs w:val="22"/>
                <w:highlight w:val="none"/>
              </w:rPr>
              <w:t>要求；</w:t>
            </w:r>
            <w:r>
              <w:rPr>
                <w:rFonts w:hint="default" w:ascii="Times New Roman" w:hAnsi="Times New Roman" w:eastAsia="宋体" w:cs="Times New Roman"/>
                <w:bCs/>
                <w:color w:val="auto"/>
                <w:sz w:val="21"/>
                <w:highlight w:val="none"/>
                <w:lang w:val="en-US" w:eastAsia="zh-CN"/>
              </w:rPr>
              <w:t>生物质锅炉</w:t>
            </w:r>
            <w:r>
              <w:rPr>
                <w:rFonts w:hint="default" w:ascii="Times New Roman" w:hAnsi="Times New Roman" w:eastAsia="宋体" w:cs="Times New Roman"/>
                <w:bCs/>
                <w:color w:val="auto"/>
                <w:sz w:val="21"/>
                <w:highlight w:val="none"/>
              </w:rPr>
              <w:t>烟气执行</w:t>
            </w:r>
            <w:r>
              <w:rPr>
                <w:rFonts w:hint="default" w:ascii="Times New Roman" w:hAnsi="Times New Roman" w:eastAsia="宋体" w:cs="Times New Roman"/>
                <w:bCs/>
                <w:color w:val="auto"/>
                <w:sz w:val="21"/>
                <w:highlight w:val="none"/>
                <w:lang w:eastAsia="zh-CN"/>
              </w:rPr>
              <w:t>《锅炉大气污染物排放标准》（GB13271-2014）</w:t>
            </w:r>
            <w:r>
              <w:rPr>
                <w:rFonts w:hint="eastAsia" w:cs="Times New Roman"/>
                <w:bCs/>
                <w:color w:val="auto"/>
                <w:sz w:val="21"/>
                <w:highlight w:val="none"/>
                <w:lang w:val="en-US" w:eastAsia="zh-CN"/>
              </w:rPr>
              <w:t>表2</w:t>
            </w:r>
            <w:r>
              <w:rPr>
                <w:rFonts w:hint="eastAsia" w:cs="Times New Roman"/>
                <w:color w:val="auto"/>
                <w:sz w:val="21"/>
                <w:szCs w:val="21"/>
                <w:highlight w:val="none"/>
                <w:lang w:val="en-US" w:eastAsia="zh-CN"/>
              </w:rPr>
              <w:t>新建锅炉大气污染物排放限值中</w:t>
            </w:r>
            <w:r>
              <w:rPr>
                <w:rFonts w:hint="default" w:ascii="Times New Roman" w:hAnsi="Times New Roman" w:eastAsia="宋体" w:cs="Times New Roman"/>
                <w:color w:val="auto"/>
                <w:sz w:val="21"/>
                <w:szCs w:val="21"/>
                <w:highlight w:val="none"/>
                <w:lang w:val="en-US" w:eastAsia="zh-CN"/>
              </w:rPr>
              <w:t>燃煤锅炉大气污染物排放浓度限值要求</w:t>
            </w:r>
            <w:r>
              <w:rPr>
                <w:rFonts w:hint="default" w:ascii="Times New Roman" w:hAnsi="Times New Roman" w:eastAsia="宋体" w:cs="Times New Roman"/>
                <w:color w:val="auto"/>
                <w:sz w:val="21"/>
                <w:szCs w:val="24"/>
                <w:highlight w:val="none"/>
                <w:lang w:eastAsia="zh-CN"/>
              </w:rPr>
              <w:t>。</w:t>
            </w:r>
          </w:p>
          <w:p w14:paraId="3781255B">
            <w:pPr>
              <w:pStyle w:val="126"/>
              <w:keepNext/>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2"/>
                <w:highlight w:val="none"/>
                <w:lang w:val="en-US" w:eastAsia="zh-CN"/>
              </w:rPr>
            </w:pPr>
            <w:r>
              <w:rPr>
                <w:rFonts w:hint="default" w:ascii="Times New Roman" w:hAnsi="Times New Roman" w:eastAsia="宋体" w:cs="Times New Roman"/>
                <w:color w:val="auto"/>
                <w:sz w:val="21"/>
                <w:szCs w:val="22"/>
                <w:highlight w:val="none"/>
                <w:lang w:val="en-US" w:eastAsia="zh-CN"/>
              </w:rPr>
              <w:t>表3-</w:t>
            </w:r>
            <w:r>
              <w:rPr>
                <w:rFonts w:hint="eastAsia" w:ascii="Times New Roman" w:cs="Times New Roman"/>
                <w:color w:val="auto"/>
                <w:sz w:val="21"/>
                <w:szCs w:val="22"/>
                <w:highlight w:val="none"/>
                <w:lang w:val="en-US" w:eastAsia="zh-CN"/>
              </w:rPr>
              <w:t>5</w:t>
            </w:r>
            <w:r>
              <w:rPr>
                <w:rFonts w:hint="default" w:ascii="Times New Roman" w:hAnsi="Times New Roman" w:eastAsia="宋体" w:cs="Times New Roman"/>
                <w:color w:val="auto"/>
                <w:sz w:val="21"/>
                <w:szCs w:val="22"/>
                <w:highlight w:val="none"/>
                <w:lang w:val="en-US" w:eastAsia="zh-CN"/>
              </w:rPr>
              <w:t xml:space="preserve"> 运营期废气排放标准  单位：mg/m</w:t>
            </w:r>
            <w:r>
              <w:rPr>
                <w:rFonts w:hint="default" w:ascii="Times New Roman" w:hAnsi="Times New Roman" w:eastAsia="宋体" w:cs="Times New Roman"/>
                <w:color w:val="auto"/>
                <w:sz w:val="21"/>
                <w:szCs w:val="22"/>
                <w:highlight w:val="none"/>
                <w:vertAlign w:val="superscript"/>
                <w:lang w:val="en-US" w:eastAsia="zh-CN"/>
              </w:rPr>
              <w:t>3</w:t>
            </w:r>
          </w:p>
          <w:tbl>
            <w:tblPr>
              <w:tblStyle w:val="42"/>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60" w:type="dxa"/>
                <w:bottom w:w="0" w:type="dxa"/>
                <w:right w:w="60" w:type="dxa"/>
              </w:tblCellMar>
            </w:tblPr>
            <w:tblGrid>
              <w:gridCol w:w="3514"/>
              <w:gridCol w:w="2587"/>
              <w:gridCol w:w="2248"/>
            </w:tblGrid>
            <w:tr w14:paraId="7F5814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0" w:type="dxa"/>
                  <w:bottom w:w="0" w:type="dxa"/>
                  <w:right w:w="60" w:type="dxa"/>
                </w:tblCellMar>
              </w:tblPrEx>
              <w:trPr>
                <w:cantSplit/>
                <w:trHeight w:val="245" w:hRule="atLeast"/>
                <w:jc w:val="center"/>
              </w:trPr>
              <w:tc>
                <w:tcPr>
                  <w:tcW w:w="2104" w:type="pct"/>
                  <w:noWrap w:val="0"/>
                  <w:vAlign w:val="center"/>
                </w:tcPr>
                <w:p w14:paraId="4C2CB500">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标准</w:t>
                  </w:r>
                </w:p>
              </w:tc>
              <w:tc>
                <w:tcPr>
                  <w:tcW w:w="1549" w:type="pct"/>
                  <w:noWrap w:val="0"/>
                  <w:vAlign w:val="center"/>
                </w:tcPr>
                <w:p w14:paraId="3E5141A6">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污染物</w:t>
                  </w:r>
                </w:p>
              </w:tc>
              <w:tc>
                <w:tcPr>
                  <w:tcW w:w="1346" w:type="pct"/>
                  <w:noWrap w:val="0"/>
                  <w:vAlign w:val="center"/>
                </w:tcPr>
                <w:p w14:paraId="402E89F9">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标准值</w:t>
                  </w:r>
                </w:p>
              </w:tc>
            </w:tr>
            <w:tr w14:paraId="7CAA7C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0" w:type="dxa"/>
                  <w:bottom w:w="0" w:type="dxa"/>
                  <w:right w:w="60" w:type="dxa"/>
                </w:tblCellMar>
              </w:tblPrEx>
              <w:trPr>
                <w:cantSplit/>
                <w:trHeight w:val="702" w:hRule="atLeast"/>
                <w:jc w:val="center"/>
              </w:trPr>
              <w:tc>
                <w:tcPr>
                  <w:tcW w:w="2104" w:type="pct"/>
                  <w:vMerge w:val="restart"/>
                  <w:noWrap w:val="0"/>
                  <w:vAlign w:val="center"/>
                </w:tcPr>
                <w:p w14:paraId="2E5494E9">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《大气污染物综合排放标准》（GB16297-1996）表2中无组织排放监控浓度限值</w:t>
                  </w:r>
                </w:p>
              </w:tc>
              <w:tc>
                <w:tcPr>
                  <w:tcW w:w="1549" w:type="pct"/>
                  <w:noWrap w:val="0"/>
                  <w:vAlign w:val="center"/>
                </w:tcPr>
                <w:p w14:paraId="78DF9716">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颗粒物</w:t>
                  </w:r>
                </w:p>
              </w:tc>
              <w:tc>
                <w:tcPr>
                  <w:tcW w:w="1346" w:type="pct"/>
                  <w:noWrap w:val="0"/>
                  <w:vAlign w:val="center"/>
                </w:tcPr>
                <w:p w14:paraId="41B8FD71">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1.0</w:t>
                  </w:r>
                </w:p>
              </w:tc>
            </w:tr>
            <w:tr w14:paraId="793E56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0" w:type="dxa"/>
                  <w:bottom w:w="0" w:type="dxa"/>
                  <w:right w:w="60" w:type="dxa"/>
                </w:tblCellMar>
              </w:tblPrEx>
              <w:trPr>
                <w:cantSplit/>
                <w:trHeight w:val="232" w:hRule="atLeast"/>
                <w:jc w:val="center"/>
              </w:trPr>
              <w:tc>
                <w:tcPr>
                  <w:tcW w:w="2104" w:type="pct"/>
                  <w:vMerge w:val="restart"/>
                  <w:noWrap w:val="0"/>
                  <w:vAlign w:val="center"/>
                </w:tcPr>
                <w:p w14:paraId="6EEA0BBA">
                  <w:pPr>
                    <w:pStyle w:val="131"/>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《锅炉大气污染物排放标准》（GB13271-2014）表</w:t>
                  </w:r>
                  <w:r>
                    <w:rPr>
                      <w:rFonts w:hint="eastAsia" w:cs="Times New Roman"/>
                      <w:color w:val="auto"/>
                      <w:sz w:val="21"/>
                      <w:szCs w:val="21"/>
                      <w:highlight w:val="none"/>
                      <w:lang w:val="en-US" w:eastAsia="zh-CN"/>
                    </w:rPr>
                    <w:t>2新建锅炉大气污染物排放限值中</w:t>
                  </w:r>
                  <w:r>
                    <w:rPr>
                      <w:rFonts w:hint="default" w:ascii="Times New Roman" w:hAnsi="Times New Roman" w:eastAsia="宋体" w:cs="Times New Roman"/>
                      <w:color w:val="auto"/>
                      <w:sz w:val="21"/>
                      <w:szCs w:val="21"/>
                      <w:highlight w:val="none"/>
                      <w:lang w:val="en-US" w:eastAsia="zh-CN"/>
                    </w:rPr>
                    <w:t>燃煤锅炉大气污染物排放浓度限值要求</w:t>
                  </w:r>
                </w:p>
              </w:tc>
              <w:tc>
                <w:tcPr>
                  <w:tcW w:w="1549" w:type="pct"/>
                  <w:noWrap w:val="0"/>
                  <w:vAlign w:val="center"/>
                </w:tcPr>
                <w:p w14:paraId="2CD501A4">
                  <w:pPr>
                    <w:pStyle w:val="131"/>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颗粒物</w:t>
                  </w:r>
                </w:p>
              </w:tc>
              <w:tc>
                <w:tcPr>
                  <w:tcW w:w="1346" w:type="pct"/>
                  <w:noWrap w:val="0"/>
                  <w:vAlign w:val="center"/>
                </w:tcPr>
                <w:p w14:paraId="743B046F">
                  <w:pPr>
                    <w:pStyle w:val="131"/>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r>
            <w:tr w14:paraId="5D59DC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0" w:type="dxa"/>
                  <w:bottom w:w="0" w:type="dxa"/>
                  <w:right w:w="60" w:type="dxa"/>
                </w:tblCellMar>
              </w:tblPrEx>
              <w:trPr>
                <w:cantSplit/>
                <w:trHeight w:val="185" w:hRule="atLeast"/>
                <w:jc w:val="center"/>
              </w:trPr>
              <w:tc>
                <w:tcPr>
                  <w:tcW w:w="2104" w:type="pct"/>
                  <w:vMerge w:val="continue"/>
                  <w:noWrap w:val="0"/>
                  <w:vAlign w:val="center"/>
                </w:tcPr>
                <w:p w14:paraId="2DED9990">
                  <w:pPr>
                    <w:pStyle w:val="131"/>
                    <w:rPr>
                      <w:rFonts w:hint="default" w:ascii="Times New Roman" w:hAnsi="Times New Roman" w:eastAsia="宋体" w:cs="Times New Roman"/>
                      <w:color w:val="auto"/>
                      <w:sz w:val="21"/>
                      <w:szCs w:val="21"/>
                      <w:highlight w:val="none"/>
                    </w:rPr>
                  </w:pPr>
                </w:p>
              </w:tc>
              <w:tc>
                <w:tcPr>
                  <w:tcW w:w="1549" w:type="pct"/>
                  <w:noWrap w:val="0"/>
                  <w:vAlign w:val="center"/>
                </w:tcPr>
                <w:p w14:paraId="689F4FF1">
                  <w:pPr>
                    <w:pStyle w:val="131"/>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二氧化硫</w:t>
                  </w:r>
                </w:p>
              </w:tc>
              <w:tc>
                <w:tcPr>
                  <w:tcW w:w="1346" w:type="pct"/>
                  <w:noWrap w:val="0"/>
                  <w:vAlign w:val="center"/>
                </w:tcPr>
                <w:p w14:paraId="4852CCBA">
                  <w:pPr>
                    <w:pStyle w:val="131"/>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00</w:t>
                  </w:r>
                </w:p>
              </w:tc>
            </w:tr>
            <w:tr w14:paraId="7C1536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0" w:type="dxa"/>
                  <w:bottom w:w="0" w:type="dxa"/>
                  <w:right w:w="60" w:type="dxa"/>
                </w:tblCellMar>
              </w:tblPrEx>
              <w:trPr>
                <w:cantSplit/>
                <w:trHeight w:val="296" w:hRule="atLeast"/>
                <w:jc w:val="center"/>
              </w:trPr>
              <w:tc>
                <w:tcPr>
                  <w:tcW w:w="2104" w:type="pct"/>
                  <w:vMerge w:val="continue"/>
                  <w:noWrap w:val="0"/>
                  <w:vAlign w:val="center"/>
                </w:tcPr>
                <w:p w14:paraId="199E0453">
                  <w:pPr>
                    <w:pStyle w:val="131"/>
                    <w:rPr>
                      <w:rFonts w:hint="default" w:ascii="Times New Roman" w:hAnsi="Times New Roman" w:eastAsia="宋体" w:cs="Times New Roman"/>
                      <w:color w:val="auto"/>
                      <w:sz w:val="21"/>
                      <w:szCs w:val="21"/>
                      <w:highlight w:val="none"/>
                    </w:rPr>
                  </w:pPr>
                </w:p>
              </w:tc>
              <w:tc>
                <w:tcPr>
                  <w:tcW w:w="1549" w:type="pct"/>
                  <w:noWrap w:val="0"/>
                  <w:vAlign w:val="center"/>
                </w:tcPr>
                <w:p w14:paraId="09766654">
                  <w:pPr>
                    <w:pStyle w:val="131"/>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氮氧化物</w:t>
                  </w:r>
                </w:p>
              </w:tc>
              <w:tc>
                <w:tcPr>
                  <w:tcW w:w="1346" w:type="pct"/>
                  <w:noWrap w:val="0"/>
                  <w:vAlign w:val="center"/>
                </w:tcPr>
                <w:p w14:paraId="4DFE82B1">
                  <w:pPr>
                    <w:pStyle w:val="131"/>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00</w:t>
                  </w:r>
                </w:p>
              </w:tc>
            </w:tr>
            <w:tr w14:paraId="38A64F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0" w:type="dxa"/>
                  <w:bottom w:w="0" w:type="dxa"/>
                  <w:right w:w="60" w:type="dxa"/>
                </w:tblCellMar>
              </w:tblPrEx>
              <w:trPr>
                <w:cantSplit/>
                <w:trHeight w:val="140" w:hRule="atLeast"/>
                <w:jc w:val="center"/>
              </w:trPr>
              <w:tc>
                <w:tcPr>
                  <w:tcW w:w="2104" w:type="pct"/>
                  <w:vMerge w:val="continue"/>
                  <w:noWrap w:val="0"/>
                  <w:vAlign w:val="center"/>
                </w:tcPr>
                <w:p w14:paraId="3525A44C">
                  <w:pPr>
                    <w:pStyle w:val="131"/>
                    <w:rPr>
                      <w:rFonts w:hint="default" w:ascii="Times New Roman" w:hAnsi="Times New Roman" w:eastAsia="宋体" w:cs="Times New Roman"/>
                      <w:color w:val="auto"/>
                      <w:sz w:val="21"/>
                      <w:szCs w:val="21"/>
                      <w:highlight w:val="none"/>
                    </w:rPr>
                  </w:pPr>
                </w:p>
              </w:tc>
              <w:tc>
                <w:tcPr>
                  <w:tcW w:w="1549" w:type="pct"/>
                  <w:noWrap w:val="0"/>
                  <w:vAlign w:val="center"/>
                </w:tcPr>
                <w:p w14:paraId="08D08603">
                  <w:pPr>
                    <w:pStyle w:val="131"/>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汞及其化合物</w:t>
                  </w:r>
                </w:p>
              </w:tc>
              <w:tc>
                <w:tcPr>
                  <w:tcW w:w="1346" w:type="pct"/>
                  <w:noWrap w:val="0"/>
                  <w:vAlign w:val="center"/>
                </w:tcPr>
                <w:p w14:paraId="2C724EDC">
                  <w:pPr>
                    <w:pStyle w:val="131"/>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0.05</w:t>
                  </w:r>
                </w:p>
              </w:tc>
            </w:tr>
            <w:tr w14:paraId="5B2E30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60" w:type="dxa"/>
                  <w:bottom w:w="0" w:type="dxa"/>
                  <w:right w:w="60" w:type="dxa"/>
                </w:tblCellMar>
              </w:tblPrEx>
              <w:trPr>
                <w:cantSplit/>
                <w:trHeight w:val="180" w:hRule="atLeast"/>
                <w:jc w:val="center"/>
              </w:trPr>
              <w:tc>
                <w:tcPr>
                  <w:tcW w:w="2104" w:type="pct"/>
                  <w:vMerge w:val="continue"/>
                  <w:noWrap w:val="0"/>
                  <w:vAlign w:val="center"/>
                </w:tcPr>
                <w:p w14:paraId="7F3BEEE3">
                  <w:pPr>
                    <w:pStyle w:val="131"/>
                    <w:rPr>
                      <w:rFonts w:hint="default" w:ascii="Times New Roman" w:hAnsi="Times New Roman" w:eastAsia="宋体" w:cs="Times New Roman"/>
                      <w:color w:val="auto"/>
                      <w:sz w:val="21"/>
                      <w:szCs w:val="21"/>
                      <w:highlight w:val="none"/>
                    </w:rPr>
                  </w:pPr>
                </w:p>
              </w:tc>
              <w:tc>
                <w:tcPr>
                  <w:tcW w:w="1549" w:type="pct"/>
                  <w:noWrap w:val="0"/>
                  <w:vAlign w:val="center"/>
                </w:tcPr>
                <w:p w14:paraId="544FAE74">
                  <w:pPr>
                    <w:pStyle w:val="131"/>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烟气黑度</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林格曼黑度，级</w:t>
                  </w:r>
                  <w:r>
                    <w:rPr>
                      <w:rFonts w:hint="default" w:ascii="Times New Roman" w:hAnsi="Times New Roman" w:eastAsia="宋体" w:cs="Times New Roman"/>
                      <w:color w:val="auto"/>
                      <w:sz w:val="21"/>
                      <w:szCs w:val="21"/>
                      <w:highlight w:val="none"/>
                      <w:lang w:eastAsia="zh-CN"/>
                    </w:rPr>
                    <w:t>）</w:t>
                  </w:r>
                </w:p>
              </w:tc>
              <w:tc>
                <w:tcPr>
                  <w:tcW w:w="1346" w:type="pct"/>
                  <w:noWrap w:val="0"/>
                  <w:vAlign w:val="center"/>
                </w:tcPr>
                <w:p w14:paraId="318AB1F5">
                  <w:pPr>
                    <w:pStyle w:val="131"/>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≤1</w:t>
                  </w:r>
                </w:p>
              </w:tc>
            </w:tr>
          </w:tbl>
          <w:p w14:paraId="164F0DEF">
            <w:pPr>
              <w:pStyle w:val="114"/>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eastAsia="宋体" w:cs="Times New Roman"/>
                <w:b/>
                <w:bCs/>
                <w:color w:val="auto"/>
                <w:sz w:val="21"/>
                <w:highlight w:val="none"/>
                <w:lang w:val="en-US" w:eastAsia="zh-CN"/>
              </w:rPr>
            </w:pPr>
            <w:r>
              <w:rPr>
                <w:rFonts w:hint="default" w:ascii="Times New Roman" w:hAnsi="Times New Roman" w:eastAsia="宋体" w:cs="Times New Roman"/>
                <w:b/>
                <w:bCs/>
                <w:color w:val="auto"/>
                <w:sz w:val="21"/>
                <w:highlight w:val="none"/>
                <w:lang w:val="en-US" w:eastAsia="zh-CN"/>
              </w:rPr>
              <w:t>2、废水</w:t>
            </w:r>
          </w:p>
          <w:p w14:paraId="67C67714">
            <w:pPr>
              <w:pStyle w:val="114"/>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lang w:val="en-US" w:eastAsia="zh-CN"/>
              </w:rPr>
              <w:t>本项目废水执行</w:t>
            </w:r>
            <w:r>
              <w:rPr>
                <w:rFonts w:hint="default" w:ascii="Times New Roman" w:hAnsi="Times New Roman" w:eastAsia="宋体" w:cs="Times New Roman"/>
                <w:color w:val="auto"/>
                <w:sz w:val="21"/>
                <w:highlight w:val="none"/>
              </w:rPr>
              <w:t>《</w:t>
            </w:r>
            <w:r>
              <w:rPr>
                <w:rFonts w:hint="default" w:ascii="Times New Roman" w:hAnsi="Times New Roman" w:eastAsia="宋体" w:cs="Times New Roman"/>
                <w:color w:val="auto"/>
                <w:sz w:val="21"/>
                <w:highlight w:val="none"/>
                <w:lang w:eastAsia="zh-CN"/>
              </w:rPr>
              <w:t>污水综合</w:t>
            </w:r>
            <w:r>
              <w:rPr>
                <w:rFonts w:hint="default" w:ascii="Times New Roman" w:hAnsi="Times New Roman" w:eastAsia="宋体" w:cs="Times New Roman"/>
                <w:color w:val="auto"/>
                <w:sz w:val="21"/>
                <w:highlight w:val="none"/>
              </w:rPr>
              <w:t>排放标准》（GB</w:t>
            </w:r>
            <w:r>
              <w:rPr>
                <w:rFonts w:hint="default" w:ascii="Times New Roman" w:hAnsi="Times New Roman" w:eastAsia="宋体" w:cs="Times New Roman"/>
                <w:color w:val="auto"/>
                <w:sz w:val="21"/>
                <w:highlight w:val="none"/>
                <w:lang w:val="en-US" w:eastAsia="zh-CN"/>
              </w:rPr>
              <w:t>897</w:t>
            </w:r>
            <w:r>
              <w:rPr>
                <w:rFonts w:hint="default" w:ascii="Times New Roman" w:hAnsi="Times New Roman" w:eastAsia="宋体" w:cs="Times New Roman"/>
                <w:color w:val="auto"/>
                <w:sz w:val="21"/>
                <w:highlight w:val="none"/>
              </w:rPr>
              <w:t>8-</w:t>
            </w:r>
            <w:r>
              <w:rPr>
                <w:rFonts w:hint="default" w:ascii="Times New Roman" w:hAnsi="Times New Roman" w:eastAsia="宋体" w:cs="Times New Roman"/>
                <w:color w:val="auto"/>
                <w:sz w:val="21"/>
                <w:highlight w:val="none"/>
                <w:lang w:val="en-US" w:eastAsia="zh-CN"/>
              </w:rPr>
              <w:t>1996</w:t>
            </w:r>
            <w:r>
              <w:rPr>
                <w:rFonts w:hint="default" w:ascii="Times New Roman" w:hAnsi="Times New Roman" w:eastAsia="宋体" w:cs="Times New Roman"/>
                <w:color w:val="auto"/>
                <w:sz w:val="21"/>
                <w:highlight w:val="none"/>
              </w:rPr>
              <w:t>）</w:t>
            </w:r>
            <w:r>
              <w:rPr>
                <w:rFonts w:hint="default" w:ascii="Times New Roman" w:hAnsi="Times New Roman" w:eastAsia="宋体" w:cs="Times New Roman"/>
                <w:color w:val="auto"/>
                <w:sz w:val="21"/>
                <w:highlight w:val="none"/>
                <w:lang w:eastAsia="zh-CN"/>
              </w:rPr>
              <w:t>表</w:t>
            </w:r>
            <w:r>
              <w:rPr>
                <w:rFonts w:hint="default" w:ascii="Times New Roman" w:hAnsi="Times New Roman" w:eastAsia="宋体" w:cs="Times New Roman"/>
                <w:color w:val="auto"/>
                <w:sz w:val="21"/>
                <w:highlight w:val="none"/>
                <w:lang w:val="en-US" w:eastAsia="zh-CN"/>
              </w:rPr>
              <w:t>4三级</w:t>
            </w:r>
            <w:r>
              <w:rPr>
                <w:rFonts w:hint="default" w:ascii="Times New Roman" w:hAnsi="Times New Roman" w:eastAsia="宋体" w:cs="Times New Roman"/>
                <w:color w:val="auto"/>
                <w:sz w:val="21"/>
                <w:highlight w:val="none"/>
              </w:rPr>
              <w:t>标准。</w:t>
            </w:r>
          </w:p>
          <w:p w14:paraId="5386BA91">
            <w:pPr>
              <w:pStyle w:val="126"/>
              <w:spacing w:line="240" w:lineRule="auto"/>
              <w:jc w:val="center"/>
              <w:rPr>
                <w:rFonts w:hint="default" w:ascii="Times New Roman" w:hAnsi="Times New Roman" w:eastAsia="宋体" w:cs="Times New Roman"/>
                <w:color w:val="auto"/>
                <w:sz w:val="21"/>
                <w:szCs w:val="22"/>
                <w:highlight w:val="none"/>
                <w:lang w:val="en-US" w:eastAsia="zh-CN"/>
              </w:rPr>
            </w:pPr>
            <w:r>
              <w:rPr>
                <w:rFonts w:hint="default" w:ascii="Times New Roman" w:hAnsi="Times New Roman" w:eastAsia="宋体" w:cs="Times New Roman"/>
                <w:color w:val="auto"/>
                <w:sz w:val="21"/>
                <w:szCs w:val="22"/>
                <w:highlight w:val="none"/>
                <w:lang w:val="en-US" w:eastAsia="zh-CN"/>
              </w:rPr>
              <w:t>表3-</w:t>
            </w:r>
            <w:r>
              <w:rPr>
                <w:rFonts w:hint="eastAsia" w:ascii="Times New Roman" w:cs="Times New Roman"/>
                <w:color w:val="auto"/>
                <w:sz w:val="21"/>
                <w:szCs w:val="22"/>
                <w:highlight w:val="none"/>
                <w:lang w:val="en-US" w:eastAsia="zh-CN"/>
              </w:rPr>
              <w:t>6</w:t>
            </w:r>
            <w:r>
              <w:rPr>
                <w:rFonts w:hint="default" w:ascii="Times New Roman" w:hAnsi="Times New Roman" w:eastAsia="宋体" w:cs="Times New Roman"/>
                <w:color w:val="auto"/>
                <w:sz w:val="21"/>
                <w:szCs w:val="22"/>
                <w:highlight w:val="none"/>
                <w:lang w:val="en-US" w:eastAsia="zh-CN"/>
              </w:rPr>
              <w:t xml:space="preserve"> 废水污染物排放标准</w:t>
            </w:r>
          </w:p>
          <w:tbl>
            <w:tblPr>
              <w:tblStyle w:val="42"/>
              <w:tblW w:w="505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Layout w:type="fixed"/>
              <w:tblCellMar>
                <w:top w:w="0" w:type="dxa"/>
                <w:left w:w="108" w:type="dxa"/>
                <w:bottom w:w="0" w:type="dxa"/>
                <w:right w:w="108" w:type="dxa"/>
              </w:tblCellMar>
            </w:tblPr>
            <w:tblGrid>
              <w:gridCol w:w="2542"/>
              <w:gridCol w:w="2807"/>
              <w:gridCol w:w="3103"/>
            </w:tblGrid>
            <w:tr w14:paraId="7AA10C5A">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57" w:hRule="atLeast"/>
                <w:jc w:val="center"/>
              </w:trPr>
              <w:tc>
                <w:tcPr>
                  <w:tcW w:w="1503" w:type="pct"/>
                  <w:tcBorders>
                    <w:tl2br w:val="nil"/>
                    <w:tr2bl w:val="nil"/>
                  </w:tcBorders>
                  <w:vAlign w:val="center"/>
                </w:tcPr>
                <w:p w14:paraId="57FE0801">
                  <w:pPr>
                    <w:pStyle w:val="312"/>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w:t>
                  </w:r>
                </w:p>
              </w:tc>
              <w:tc>
                <w:tcPr>
                  <w:tcW w:w="1660" w:type="pct"/>
                  <w:tcBorders>
                    <w:tl2br w:val="nil"/>
                    <w:tr2bl w:val="nil"/>
                  </w:tcBorders>
                  <w:vAlign w:val="center"/>
                </w:tcPr>
                <w:p w14:paraId="48502C9D">
                  <w:pPr>
                    <w:pStyle w:val="312"/>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排放限值（mg/L）</w:t>
                  </w:r>
                </w:p>
              </w:tc>
              <w:tc>
                <w:tcPr>
                  <w:tcW w:w="1835" w:type="pct"/>
                  <w:tcBorders>
                    <w:tl2br w:val="nil"/>
                    <w:tr2bl w:val="nil"/>
                  </w:tcBorders>
                  <w:vAlign w:val="center"/>
                </w:tcPr>
                <w:p w14:paraId="002CA53E">
                  <w:pPr>
                    <w:pStyle w:val="312"/>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w:t>
                  </w:r>
                </w:p>
              </w:tc>
            </w:tr>
            <w:tr w14:paraId="76CC1A1B">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26" w:hRule="atLeast"/>
                <w:jc w:val="center"/>
              </w:trPr>
              <w:tc>
                <w:tcPr>
                  <w:tcW w:w="1503" w:type="pct"/>
                  <w:tcBorders>
                    <w:tl2br w:val="nil"/>
                    <w:tr2bl w:val="nil"/>
                  </w:tcBorders>
                  <w:vAlign w:val="center"/>
                </w:tcPr>
                <w:p w14:paraId="3E21D947">
                  <w:pPr>
                    <w:pStyle w:val="312"/>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COD</w:t>
                  </w:r>
                </w:p>
              </w:tc>
              <w:tc>
                <w:tcPr>
                  <w:tcW w:w="1660" w:type="pct"/>
                  <w:tcBorders>
                    <w:tl2br w:val="nil"/>
                    <w:tr2bl w:val="nil"/>
                  </w:tcBorders>
                  <w:vAlign w:val="center"/>
                </w:tcPr>
                <w:p w14:paraId="02787620">
                  <w:pPr>
                    <w:pStyle w:val="312"/>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500</w:t>
                  </w:r>
                </w:p>
              </w:tc>
              <w:tc>
                <w:tcPr>
                  <w:tcW w:w="1835" w:type="pct"/>
                  <w:vMerge w:val="restart"/>
                  <w:tcBorders>
                    <w:tl2br w:val="nil"/>
                    <w:tr2bl w:val="nil"/>
                  </w:tcBorders>
                  <w:vAlign w:val="center"/>
                </w:tcPr>
                <w:p w14:paraId="0CC8DA5E">
                  <w:pPr>
                    <w:pStyle w:val="312"/>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《污水综合排放标准》（GB8978-1996）表4中三级标准</w:t>
                  </w:r>
                </w:p>
              </w:tc>
            </w:tr>
            <w:tr w14:paraId="6DE939B8">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142" w:hRule="atLeast"/>
                <w:jc w:val="center"/>
              </w:trPr>
              <w:tc>
                <w:tcPr>
                  <w:tcW w:w="1503" w:type="pct"/>
                  <w:tcBorders>
                    <w:tl2br w:val="nil"/>
                    <w:tr2bl w:val="nil"/>
                  </w:tcBorders>
                  <w:vAlign w:val="center"/>
                </w:tcPr>
                <w:p w14:paraId="0BB59459">
                  <w:pPr>
                    <w:pStyle w:val="312"/>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pH</w:t>
                  </w:r>
                </w:p>
              </w:tc>
              <w:tc>
                <w:tcPr>
                  <w:tcW w:w="1660" w:type="pct"/>
                  <w:tcBorders>
                    <w:tl2br w:val="nil"/>
                    <w:tr2bl w:val="nil"/>
                  </w:tcBorders>
                  <w:vAlign w:val="center"/>
                </w:tcPr>
                <w:p w14:paraId="45E3D40F">
                  <w:pPr>
                    <w:pStyle w:val="312"/>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6-9（无量纲）</w:t>
                  </w:r>
                </w:p>
              </w:tc>
              <w:tc>
                <w:tcPr>
                  <w:tcW w:w="1835" w:type="pct"/>
                  <w:vMerge w:val="continue"/>
                  <w:tcBorders>
                    <w:tl2br w:val="nil"/>
                    <w:tr2bl w:val="nil"/>
                  </w:tcBorders>
                  <w:vAlign w:val="center"/>
                </w:tcPr>
                <w:p w14:paraId="3121B402">
                  <w:pPr>
                    <w:pStyle w:val="312"/>
                    <w:rPr>
                      <w:rFonts w:hint="default" w:ascii="Times New Roman" w:hAnsi="Times New Roman" w:eastAsia="宋体" w:cs="Times New Roman"/>
                      <w:color w:val="auto"/>
                      <w:sz w:val="21"/>
                      <w:szCs w:val="21"/>
                      <w:highlight w:val="none"/>
                    </w:rPr>
                  </w:pPr>
                </w:p>
              </w:tc>
            </w:tr>
            <w:tr w14:paraId="32E0FA40">
              <w:tblPrEx>
                <w:tblBorders>
                  <w:top w:val="single" w:color="auto" w:sz="12" w:space="0"/>
                  <w:left w:val="none" w:color="auto" w:sz="0" w:space="0"/>
                  <w:bottom w:val="single" w:color="auto" w:sz="12" w:space="0"/>
                  <w:right w:val="none" w:color="auto" w:sz="0" w:space="0"/>
                  <w:insideH w:val="single" w:color="auto" w:sz="4" w:space="0"/>
                  <w:insideV w:val="single" w:color="auto" w:sz="6" w:space="0"/>
                </w:tblBorders>
                <w:tblCellMar>
                  <w:top w:w="0" w:type="dxa"/>
                  <w:left w:w="108" w:type="dxa"/>
                  <w:bottom w:w="0" w:type="dxa"/>
                  <w:right w:w="108" w:type="dxa"/>
                </w:tblCellMar>
              </w:tblPrEx>
              <w:trPr>
                <w:trHeight w:val="65" w:hRule="atLeast"/>
                <w:jc w:val="center"/>
              </w:trPr>
              <w:tc>
                <w:tcPr>
                  <w:tcW w:w="1503" w:type="pct"/>
                  <w:tcBorders>
                    <w:tl2br w:val="nil"/>
                    <w:tr2bl w:val="nil"/>
                  </w:tcBorders>
                  <w:vAlign w:val="center"/>
                </w:tcPr>
                <w:p w14:paraId="1400C708">
                  <w:pPr>
                    <w:pStyle w:val="312"/>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SS</w:t>
                  </w:r>
                </w:p>
              </w:tc>
              <w:tc>
                <w:tcPr>
                  <w:tcW w:w="1660" w:type="pct"/>
                  <w:tcBorders>
                    <w:tl2br w:val="nil"/>
                    <w:tr2bl w:val="nil"/>
                  </w:tcBorders>
                  <w:vAlign w:val="center"/>
                </w:tcPr>
                <w:p w14:paraId="0B0FCE15">
                  <w:pPr>
                    <w:pStyle w:val="312"/>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1835" w:type="pct"/>
                  <w:vMerge w:val="continue"/>
                  <w:tcBorders>
                    <w:tl2br w:val="nil"/>
                    <w:tr2bl w:val="nil"/>
                  </w:tcBorders>
                  <w:vAlign w:val="center"/>
                </w:tcPr>
                <w:p w14:paraId="0F732BF9">
                  <w:pPr>
                    <w:pStyle w:val="312"/>
                    <w:rPr>
                      <w:rFonts w:hint="default" w:ascii="Times New Roman" w:hAnsi="Times New Roman" w:eastAsia="宋体" w:cs="Times New Roman"/>
                      <w:color w:val="auto"/>
                      <w:sz w:val="21"/>
                      <w:szCs w:val="21"/>
                      <w:highlight w:val="none"/>
                    </w:rPr>
                  </w:pPr>
                </w:p>
              </w:tc>
            </w:tr>
          </w:tbl>
          <w:p w14:paraId="0A3657CD">
            <w:pPr>
              <w:pStyle w:val="114"/>
              <w:ind w:firstLine="480"/>
              <w:rPr>
                <w:rFonts w:hint="default" w:ascii="Times New Roman" w:hAnsi="Times New Roman" w:eastAsia="宋体" w:cs="Times New Roman"/>
                <w:b/>
                <w:bCs/>
                <w:color w:val="auto"/>
                <w:sz w:val="21"/>
                <w:highlight w:val="none"/>
              </w:rPr>
            </w:pPr>
            <w:r>
              <w:rPr>
                <w:rFonts w:hint="default" w:ascii="Times New Roman" w:hAnsi="Times New Roman" w:eastAsia="宋体" w:cs="Times New Roman"/>
                <w:b/>
                <w:bCs/>
                <w:color w:val="auto"/>
                <w:sz w:val="21"/>
                <w:highlight w:val="none"/>
                <w:lang w:val="en-US" w:eastAsia="zh-CN"/>
              </w:rPr>
              <w:t>3、</w:t>
            </w:r>
            <w:r>
              <w:rPr>
                <w:rFonts w:hint="default" w:ascii="Times New Roman" w:hAnsi="Times New Roman" w:eastAsia="宋体" w:cs="Times New Roman"/>
                <w:b/>
                <w:bCs/>
                <w:color w:val="auto"/>
                <w:sz w:val="21"/>
                <w:highlight w:val="none"/>
              </w:rPr>
              <w:t>噪声</w:t>
            </w:r>
          </w:p>
          <w:p w14:paraId="2E46A80B">
            <w:pPr>
              <w:spacing w:line="360" w:lineRule="auto"/>
              <w:ind w:firstLine="420" w:firstLineChars="200"/>
              <w:contextualSpacing/>
              <w:rPr>
                <w:rFonts w:hint="default"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kern w:val="0"/>
                <w:szCs w:val="21"/>
                <w:lang w:val="en-US" w:eastAsia="zh-CN"/>
              </w:rPr>
              <w:t>本项目施工期场界噪声执行《建筑施工场界环境噪声排放标准》（</w:t>
            </w:r>
            <w:r>
              <w:rPr>
                <w:rFonts w:hint="default" w:ascii="Times New Roman" w:hAnsi="Times New Roman" w:eastAsia="宋体" w:cs="Times New Roman"/>
                <w:color w:val="auto"/>
                <w:kern w:val="0"/>
                <w:szCs w:val="21"/>
                <w:lang w:val="en-US" w:eastAsia="zh-CN"/>
              </w:rPr>
              <w:t>GB12523-2011</w:t>
            </w:r>
            <w:r>
              <w:rPr>
                <w:rFonts w:hint="eastAsia" w:ascii="Times New Roman" w:hAnsi="Times New Roman" w:eastAsia="宋体" w:cs="Times New Roman"/>
                <w:color w:val="auto"/>
                <w:kern w:val="0"/>
                <w:szCs w:val="21"/>
                <w:lang w:val="en-US" w:eastAsia="zh-CN"/>
              </w:rPr>
              <w:t>）表</w:t>
            </w: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标准。</w:t>
            </w:r>
          </w:p>
          <w:p w14:paraId="322350D7">
            <w:pPr>
              <w:pStyle w:val="114"/>
              <w:keepNext w:val="0"/>
              <w:keepLines w:val="0"/>
              <w:pageBreakBefore w:val="0"/>
              <w:widowControl w:val="0"/>
              <w:kinsoku/>
              <w:wordWrap/>
              <w:overflowPunct/>
              <w:topLinePunct w:val="0"/>
              <w:autoSpaceDE/>
              <w:autoSpaceDN/>
              <w:bidi w:val="0"/>
              <w:adjustRightInd/>
              <w:snapToGrid/>
              <w:spacing w:line="240" w:lineRule="auto"/>
              <w:ind w:firstLine="48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本项目运营期噪声执行《工业企业厂界环境噪声排放标准》(GB12348-2008)表1中2类标准。</w:t>
            </w:r>
          </w:p>
          <w:p w14:paraId="037A4A9D">
            <w:pPr>
              <w:pStyle w:val="126"/>
              <w:spacing w:line="360" w:lineRule="auto"/>
              <w:rPr>
                <w:rFonts w:hint="default" w:ascii="Times New Roman" w:hAnsi="Times New Roman" w:eastAsia="宋体" w:cs="Times New Roman"/>
                <w:color w:val="auto"/>
                <w:sz w:val="21"/>
                <w:szCs w:val="22"/>
                <w:highlight w:val="none"/>
              </w:rPr>
            </w:pPr>
            <w:r>
              <w:rPr>
                <w:rFonts w:hint="default" w:ascii="Times New Roman" w:hAnsi="Times New Roman" w:eastAsia="宋体" w:cs="Times New Roman"/>
                <w:color w:val="auto"/>
                <w:sz w:val="21"/>
                <w:szCs w:val="22"/>
                <w:highlight w:val="none"/>
              </w:rPr>
              <w:t>表3-</w:t>
            </w:r>
            <w:r>
              <w:rPr>
                <w:rFonts w:hint="eastAsia" w:ascii="Times New Roman" w:cs="Times New Roman"/>
                <w:color w:val="auto"/>
                <w:sz w:val="21"/>
                <w:szCs w:val="22"/>
                <w:highlight w:val="none"/>
                <w:lang w:val="en-US" w:eastAsia="zh-CN"/>
              </w:rPr>
              <w:t>7</w:t>
            </w:r>
            <w:r>
              <w:rPr>
                <w:rFonts w:hint="default" w:ascii="Times New Roman" w:hAnsi="Times New Roman" w:eastAsia="宋体" w:cs="Times New Roman"/>
                <w:color w:val="auto"/>
                <w:sz w:val="21"/>
                <w:szCs w:val="22"/>
                <w:highlight w:val="none"/>
              </w:rPr>
              <w:t xml:space="preserve"> 工业企业厂界环境噪声排放标准  单位：dB（A）</w:t>
            </w:r>
          </w:p>
          <w:tbl>
            <w:tblPr>
              <w:tblStyle w:val="42"/>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56" w:type="dxa"/>
                <w:bottom w:w="0" w:type="dxa"/>
                <w:right w:w="56" w:type="dxa"/>
              </w:tblCellMar>
            </w:tblPr>
            <w:tblGrid>
              <w:gridCol w:w="821"/>
              <w:gridCol w:w="1416"/>
              <w:gridCol w:w="3724"/>
              <w:gridCol w:w="1145"/>
              <w:gridCol w:w="1145"/>
            </w:tblGrid>
            <w:tr w14:paraId="1E7E2DE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6" w:type="dxa"/>
                  <w:bottom w:w="0" w:type="dxa"/>
                  <w:right w:w="56" w:type="dxa"/>
                </w:tblCellMar>
              </w:tblPrEx>
              <w:trPr>
                <w:cantSplit/>
                <w:trHeight w:val="309" w:hRule="exact"/>
                <w:jc w:val="center"/>
              </w:trPr>
              <w:tc>
                <w:tcPr>
                  <w:tcW w:w="821" w:type="dxa"/>
                </w:tcPr>
                <w:p w14:paraId="44A3111D">
                  <w:pPr>
                    <w:adjustRightInd w:val="0"/>
                    <w:snapToGrid w:val="0"/>
                    <w:jc w:val="center"/>
                    <w:rPr>
                      <w:rFonts w:hint="eastAsia" w:ascii="Times New Roman" w:hAnsi="Times New Roman" w:cs="Times New Roman" w:eastAsiaTheme="minorEastAsia"/>
                      <w:color w:val="auto"/>
                      <w:szCs w:val="21"/>
                      <w:lang w:val="en-US" w:eastAsia="zh-CN"/>
                    </w:rPr>
                  </w:pPr>
                  <w:r>
                    <w:rPr>
                      <w:rFonts w:hint="eastAsia" w:cs="Times New Roman" w:eastAsiaTheme="minorEastAsia"/>
                      <w:color w:val="auto"/>
                      <w:szCs w:val="21"/>
                      <w:lang w:val="en-US" w:eastAsia="zh-CN"/>
                    </w:rPr>
                    <w:t>时段</w:t>
                  </w:r>
                </w:p>
              </w:tc>
              <w:tc>
                <w:tcPr>
                  <w:tcW w:w="1416" w:type="dxa"/>
                </w:tcPr>
                <w:p w14:paraId="5921AE3A">
                  <w:pPr>
                    <w:adjustRightInd w:val="0"/>
                    <w:snapToGrid w:val="0"/>
                    <w:jc w:val="center"/>
                    <w:rPr>
                      <w:rFonts w:hint="default" w:cs="Times New Roman" w:eastAsiaTheme="minorEastAsia"/>
                      <w:color w:val="auto"/>
                      <w:szCs w:val="21"/>
                      <w:lang w:val="en-US" w:eastAsia="zh-CN"/>
                    </w:rPr>
                  </w:pPr>
                  <w:r>
                    <w:rPr>
                      <w:rFonts w:hint="eastAsia" w:cs="Times New Roman" w:eastAsiaTheme="minorEastAsia"/>
                      <w:color w:val="auto"/>
                      <w:szCs w:val="21"/>
                      <w:lang w:val="en-US" w:eastAsia="zh-CN"/>
                    </w:rPr>
                    <w:t>位置</w:t>
                  </w:r>
                </w:p>
              </w:tc>
              <w:tc>
                <w:tcPr>
                  <w:tcW w:w="3724" w:type="dxa"/>
                </w:tcPr>
                <w:p w14:paraId="103DFE73">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标准名称</w:t>
                  </w:r>
                </w:p>
              </w:tc>
              <w:tc>
                <w:tcPr>
                  <w:tcW w:w="1145" w:type="dxa"/>
                  <w:vAlign w:val="center"/>
                </w:tcPr>
                <w:p w14:paraId="1EA2F19D">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昼间</w:t>
                  </w:r>
                </w:p>
              </w:tc>
              <w:tc>
                <w:tcPr>
                  <w:tcW w:w="1145" w:type="dxa"/>
                  <w:vAlign w:val="center"/>
                </w:tcPr>
                <w:p w14:paraId="4DDA51F6">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夜间</w:t>
                  </w:r>
                </w:p>
              </w:tc>
            </w:tr>
            <w:tr w14:paraId="667C8F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6" w:type="dxa"/>
                  <w:bottom w:w="0" w:type="dxa"/>
                  <w:right w:w="56" w:type="dxa"/>
                </w:tblCellMar>
              </w:tblPrEx>
              <w:trPr>
                <w:cantSplit/>
                <w:trHeight w:val="668" w:hRule="exact"/>
                <w:jc w:val="center"/>
              </w:trPr>
              <w:tc>
                <w:tcPr>
                  <w:tcW w:w="821" w:type="dxa"/>
                  <w:vAlign w:val="center"/>
                </w:tcPr>
                <w:p w14:paraId="1C9F428F">
                  <w:pPr>
                    <w:adjustRightInd w:val="0"/>
                    <w:snapToGrid w:val="0"/>
                    <w:jc w:val="center"/>
                    <w:rPr>
                      <w:rFonts w:hint="eastAsia" w:ascii="Times New Roman" w:hAnsi="Times New Roman" w:cs="Times New Roman" w:eastAsiaTheme="minorEastAsia"/>
                      <w:color w:val="auto"/>
                      <w:szCs w:val="21"/>
                      <w:lang w:val="en-US" w:eastAsia="zh-CN"/>
                    </w:rPr>
                  </w:pPr>
                  <w:r>
                    <w:rPr>
                      <w:rFonts w:hint="eastAsia" w:cs="Times New Roman" w:eastAsiaTheme="minorEastAsia"/>
                      <w:color w:val="auto"/>
                      <w:szCs w:val="21"/>
                      <w:lang w:val="en-US" w:eastAsia="zh-CN"/>
                    </w:rPr>
                    <w:t>施工期</w:t>
                  </w:r>
                </w:p>
              </w:tc>
              <w:tc>
                <w:tcPr>
                  <w:tcW w:w="1416" w:type="dxa"/>
                  <w:vMerge w:val="restart"/>
                  <w:vAlign w:val="center"/>
                </w:tcPr>
                <w:p w14:paraId="30D592F7">
                  <w:pPr>
                    <w:adjustRightInd w:val="0"/>
                    <w:snapToGrid w:val="0"/>
                    <w:jc w:val="center"/>
                    <w:rPr>
                      <w:rFonts w:hint="default" w:cs="Times New Roman" w:eastAsiaTheme="minorEastAsia"/>
                      <w:color w:val="auto"/>
                      <w:szCs w:val="21"/>
                      <w:lang w:val="en-US" w:eastAsia="zh-CN"/>
                    </w:rPr>
                  </w:pPr>
                  <w:r>
                    <w:rPr>
                      <w:rFonts w:hint="eastAsia" w:cs="Times New Roman" w:eastAsiaTheme="minorEastAsia"/>
                      <w:color w:val="auto"/>
                      <w:szCs w:val="21"/>
                      <w:lang w:val="en-US" w:eastAsia="zh-CN"/>
                    </w:rPr>
                    <w:t>厂界四周</w:t>
                  </w:r>
                </w:p>
              </w:tc>
              <w:tc>
                <w:tcPr>
                  <w:tcW w:w="3724" w:type="dxa"/>
                  <w:vAlign w:val="center"/>
                </w:tcPr>
                <w:p w14:paraId="6514CF13">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《建筑施工场界环境噪声排放标准》（GB12523-2011）</w:t>
                  </w:r>
                  <w:r>
                    <w:rPr>
                      <w:rFonts w:hint="eastAsia" w:ascii="Times New Roman" w:hAnsi="Times New Roman" w:eastAsia="宋体" w:cs="Times New Roman"/>
                      <w:color w:val="auto"/>
                      <w:kern w:val="0"/>
                      <w:szCs w:val="21"/>
                      <w:lang w:val="en-US" w:eastAsia="zh-CN"/>
                    </w:rPr>
                    <w:t>表</w:t>
                  </w:r>
                  <w:r>
                    <w:rPr>
                      <w:rFonts w:hint="default" w:ascii="Times New Roman" w:hAnsi="Times New Roman" w:eastAsia="宋体" w:cs="Times New Roman"/>
                      <w:color w:val="auto"/>
                      <w:kern w:val="0"/>
                      <w:szCs w:val="21"/>
                      <w:lang w:val="en-US" w:eastAsia="zh-CN"/>
                    </w:rPr>
                    <w:t>1</w:t>
                  </w:r>
                  <w:r>
                    <w:rPr>
                      <w:rFonts w:hint="eastAsia" w:ascii="Times New Roman" w:hAnsi="Times New Roman" w:eastAsia="宋体" w:cs="Times New Roman"/>
                      <w:color w:val="auto"/>
                      <w:kern w:val="0"/>
                      <w:szCs w:val="21"/>
                      <w:lang w:val="en-US" w:eastAsia="zh-CN"/>
                    </w:rPr>
                    <w:t>标准。</w:t>
                  </w:r>
                </w:p>
              </w:tc>
              <w:tc>
                <w:tcPr>
                  <w:tcW w:w="1145" w:type="dxa"/>
                  <w:vAlign w:val="center"/>
                </w:tcPr>
                <w:p w14:paraId="1C03054E">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70 dB（A）</w:t>
                  </w:r>
                </w:p>
              </w:tc>
              <w:tc>
                <w:tcPr>
                  <w:tcW w:w="1145" w:type="dxa"/>
                  <w:vAlign w:val="center"/>
                </w:tcPr>
                <w:p w14:paraId="029D865B">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55 dB（A）</w:t>
                  </w:r>
                </w:p>
              </w:tc>
            </w:tr>
            <w:tr w14:paraId="4927A4B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6" w:type="dxa"/>
                  <w:bottom w:w="0" w:type="dxa"/>
                  <w:right w:w="56" w:type="dxa"/>
                </w:tblCellMar>
              </w:tblPrEx>
              <w:trPr>
                <w:cantSplit/>
                <w:trHeight w:val="715" w:hRule="exact"/>
                <w:jc w:val="center"/>
              </w:trPr>
              <w:tc>
                <w:tcPr>
                  <w:tcW w:w="821" w:type="dxa"/>
                  <w:vAlign w:val="center"/>
                </w:tcPr>
                <w:p w14:paraId="11EFA927">
                  <w:pPr>
                    <w:adjustRightInd w:val="0"/>
                    <w:snapToGrid w:val="0"/>
                    <w:jc w:val="center"/>
                    <w:rPr>
                      <w:rFonts w:hint="eastAsia" w:ascii="Times New Roman" w:hAnsi="Times New Roman" w:cs="Times New Roman" w:eastAsiaTheme="minorEastAsia"/>
                      <w:color w:val="auto"/>
                      <w:szCs w:val="21"/>
                      <w:lang w:val="en-US" w:eastAsia="zh-CN"/>
                    </w:rPr>
                  </w:pPr>
                  <w:r>
                    <w:rPr>
                      <w:rFonts w:hint="eastAsia" w:cs="Times New Roman" w:eastAsiaTheme="minorEastAsia"/>
                      <w:color w:val="auto"/>
                      <w:szCs w:val="21"/>
                      <w:lang w:val="en-US" w:eastAsia="zh-CN"/>
                    </w:rPr>
                    <w:t>运营期</w:t>
                  </w:r>
                </w:p>
              </w:tc>
              <w:tc>
                <w:tcPr>
                  <w:tcW w:w="1416" w:type="dxa"/>
                  <w:vMerge w:val="continue"/>
                  <w:vAlign w:val="center"/>
                </w:tcPr>
                <w:p w14:paraId="19B2B928">
                  <w:pPr>
                    <w:adjustRightInd w:val="0"/>
                    <w:snapToGrid w:val="0"/>
                    <w:jc w:val="center"/>
                    <w:rPr>
                      <w:rFonts w:hint="eastAsia" w:cs="Times New Roman" w:eastAsiaTheme="minorEastAsia"/>
                      <w:color w:val="auto"/>
                      <w:szCs w:val="21"/>
                      <w:lang w:val="en-US" w:eastAsia="zh-CN"/>
                    </w:rPr>
                  </w:pPr>
                </w:p>
              </w:tc>
              <w:tc>
                <w:tcPr>
                  <w:tcW w:w="3724" w:type="dxa"/>
                  <w:vAlign w:val="center"/>
                </w:tcPr>
                <w:p w14:paraId="4893F605">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《工业企业厂界环境噪声排放标准》（GB12348-2008）</w:t>
                  </w:r>
                  <w:r>
                    <w:rPr>
                      <w:rFonts w:hint="eastAsia" w:ascii="Times New Roman" w:hAnsi="Times New Roman" w:cs="Times New Roman" w:eastAsiaTheme="minorEastAsia"/>
                      <w:color w:val="auto"/>
                      <w:szCs w:val="21"/>
                      <w:lang w:val="en-US" w:eastAsia="zh-CN"/>
                    </w:rPr>
                    <w:t>2</w:t>
                  </w:r>
                  <w:r>
                    <w:rPr>
                      <w:rFonts w:hint="default" w:ascii="Times New Roman" w:hAnsi="Times New Roman" w:cs="Times New Roman" w:eastAsiaTheme="minorEastAsia"/>
                      <w:color w:val="auto"/>
                      <w:szCs w:val="21"/>
                    </w:rPr>
                    <w:t>类</w:t>
                  </w:r>
                </w:p>
              </w:tc>
              <w:tc>
                <w:tcPr>
                  <w:tcW w:w="1145" w:type="dxa"/>
                  <w:vAlign w:val="center"/>
                </w:tcPr>
                <w:p w14:paraId="397CD7EA">
                  <w:pPr>
                    <w:adjustRightInd w:val="0"/>
                    <w:snapToGrid w:val="0"/>
                    <w:jc w:val="center"/>
                    <w:rPr>
                      <w:rFonts w:hint="default" w:ascii="Times New Roman" w:hAnsi="Times New Roman" w:cs="Times New Roman" w:eastAsiaTheme="minorEastAsia"/>
                      <w:color w:val="auto"/>
                      <w:szCs w:val="21"/>
                    </w:rPr>
                  </w:pPr>
                  <w:r>
                    <w:rPr>
                      <w:rFonts w:hint="eastAsia" w:ascii="Times New Roman" w:hAnsi="Times New Roman" w:cs="Times New Roman" w:eastAsiaTheme="minorEastAsia"/>
                      <w:color w:val="auto"/>
                      <w:szCs w:val="21"/>
                      <w:lang w:val="en-US" w:eastAsia="zh-CN"/>
                    </w:rPr>
                    <w:t>60</w:t>
                  </w:r>
                  <w:r>
                    <w:rPr>
                      <w:rFonts w:hint="default" w:ascii="Times New Roman" w:hAnsi="Times New Roman" w:cs="Times New Roman" w:eastAsiaTheme="minorEastAsia"/>
                      <w:color w:val="auto"/>
                      <w:szCs w:val="21"/>
                    </w:rPr>
                    <w:t>dB（A）</w:t>
                  </w:r>
                </w:p>
              </w:tc>
              <w:tc>
                <w:tcPr>
                  <w:tcW w:w="1145" w:type="dxa"/>
                  <w:vAlign w:val="center"/>
                </w:tcPr>
                <w:p w14:paraId="6011F832">
                  <w:pPr>
                    <w:adjustRightInd w:val="0"/>
                    <w:snapToGrid w:val="0"/>
                    <w:jc w:val="center"/>
                    <w:rPr>
                      <w:rFonts w:hint="default" w:ascii="Times New Roman" w:hAnsi="Times New Roman" w:cs="Times New Roman" w:eastAsiaTheme="minorEastAsia"/>
                      <w:color w:val="auto"/>
                      <w:szCs w:val="21"/>
                    </w:rPr>
                  </w:pPr>
                  <w:r>
                    <w:rPr>
                      <w:rFonts w:hint="default" w:ascii="Times New Roman" w:hAnsi="Times New Roman" w:cs="Times New Roman" w:eastAsiaTheme="minorEastAsia"/>
                      <w:color w:val="auto"/>
                      <w:szCs w:val="21"/>
                    </w:rPr>
                    <w:t>5</w:t>
                  </w:r>
                  <w:r>
                    <w:rPr>
                      <w:rFonts w:hint="eastAsia" w:ascii="Times New Roman" w:hAnsi="Times New Roman" w:cs="Times New Roman" w:eastAsiaTheme="minorEastAsia"/>
                      <w:color w:val="auto"/>
                      <w:szCs w:val="21"/>
                      <w:lang w:val="en-US" w:eastAsia="zh-CN"/>
                    </w:rPr>
                    <w:t>0</w:t>
                  </w:r>
                  <w:r>
                    <w:rPr>
                      <w:rFonts w:hint="default" w:ascii="Times New Roman" w:hAnsi="Times New Roman" w:cs="Times New Roman" w:eastAsiaTheme="minorEastAsia"/>
                      <w:color w:val="auto"/>
                      <w:szCs w:val="21"/>
                    </w:rPr>
                    <w:t>dB（A）</w:t>
                  </w:r>
                </w:p>
              </w:tc>
            </w:tr>
          </w:tbl>
          <w:p w14:paraId="7501F51C">
            <w:pPr>
              <w:pStyle w:val="114"/>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hint="default" w:ascii="Times New Roman" w:hAnsi="Times New Roman" w:eastAsia="宋体" w:cs="Times New Roman"/>
                <w:color w:val="auto"/>
                <w:sz w:val="21"/>
                <w:highlight w:val="none"/>
                <w:lang w:val="en-US"/>
              </w:rPr>
            </w:pPr>
          </w:p>
        </w:tc>
      </w:tr>
      <w:tr w14:paraId="2B346A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68" w:hRule="atLeast"/>
          <w:jc w:val="center"/>
        </w:trPr>
        <w:tc>
          <w:tcPr>
            <w:tcW w:w="484" w:type="dxa"/>
            <w:noWrap w:val="0"/>
            <w:vAlign w:val="center"/>
          </w:tcPr>
          <w:p w14:paraId="00686F65">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总量</w:t>
            </w:r>
          </w:p>
          <w:p w14:paraId="4F116E1B">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控制</w:t>
            </w:r>
          </w:p>
          <w:p w14:paraId="6F755E9B">
            <w:pPr>
              <w:adjustRightInd w:val="0"/>
              <w:snapToGrid w:val="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指标</w:t>
            </w:r>
          </w:p>
        </w:tc>
        <w:tc>
          <w:tcPr>
            <w:tcW w:w="8577" w:type="dxa"/>
            <w:noWrap w:val="0"/>
            <w:vAlign w:val="center"/>
          </w:tcPr>
          <w:p w14:paraId="06F0EA23">
            <w:pPr>
              <w:pStyle w:val="319"/>
              <w:jc w:val="center"/>
              <w:rPr>
                <w:rFonts w:hint="default" w:ascii="Times New Roman" w:hAnsi="Times New Roman" w:eastAsia="宋体" w:cs="Times New Roman"/>
                <w:b/>
                <w:bCs/>
                <w:color w:val="auto"/>
                <w:kern w:val="2"/>
                <w:sz w:val="21"/>
                <w:szCs w:val="22"/>
                <w:highlight w:val="none"/>
                <w:lang w:val="en-US" w:eastAsia="zh-CN" w:bidi="ar-SA"/>
              </w:rPr>
            </w:pPr>
            <w:r>
              <w:rPr>
                <w:rFonts w:hint="default" w:ascii="Times New Roman" w:hAnsi="Times New Roman" w:eastAsia="宋体" w:cs="Times New Roman"/>
                <w:b/>
                <w:bCs/>
                <w:color w:val="auto"/>
                <w:kern w:val="2"/>
                <w:sz w:val="21"/>
                <w:szCs w:val="22"/>
                <w:highlight w:val="none"/>
                <w:lang w:val="en-US" w:eastAsia="zh-CN" w:bidi="ar-SA"/>
              </w:rPr>
              <w:t>表3-</w:t>
            </w:r>
            <w:r>
              <w:rPr>
                <w:rFonts w:hint="eastAsia" w:cs="Times New Roman"/>
                <w:b/>
                <w:bCs/>
                <w:color w:val="auto"/>
                <w:kern w:val="2"/>
                <w:sz w:val="21"/>
                <w:szCs w:val="22"/>
                <w:highlight w:val="none"/>
                <w:lang w:val="en-US" w:eastAsia="zh-CN" w:bidi="ar-SA"/>
              </w:rPr>
              <w:t>8</w:t>
            </w:r>
            <w:r>
              <w:rPr>
                <w:rFonts w:hint="default" w:ascii="Times New Roman" w:hAnsi="Times New Roman" w:eastAsia="宋体" w:cs="Times New Roman"/>
                <w:b/>
                <w:bCs/>
                <w:color w:val="auto"/>
                <w:kern w:val="2"/>
                <w:sz w:val="21"/>
                <w:szCs w:val="22"/>
                <w:highlight w:val="none"/>
                <w:lang w:val="en-US" w:eastAsia="zh-CN" w:bidi="ar-SA"/>
              </w:rPr>
              <w:t xml:space="preserve">  本项目总量控制指标情况表   单位：t/a</w:t>
            </w:r>
          </w:p>
          <w:tbl>
            <w:tblPr>
              <w:tblStyle w:val="4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3"/>
              <w:gridCol w:w="1746"/>
              <w:gridCol w:w="2200"/>
              <w:gridCol w:w="2669"/>
            </w:tblGrid>
            <w:tr w14:paraId="17E7D6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42" w:type="pct"/>
                  <w:noWrap w:val="0"/>
                  <w:vAlign w:val="center"/>
                </w:tcPr>
                <w:p w14:paraId="26E89480">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项目</w:t>
                  </w:r>
                </w:p>
              </w:tc>
              <w:tc>
                <w:tcPr>
                  <w:tcW w:w="1044" w:type="pct"/>
                  <w:noWrap w:val="0"/>
                  <w:vAlign w:val="center"/>
                </w:tcPr>
                <w:p w14:paraId="1D50E768">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污染物名称</w:t>
                  </w:r>
                </w:p>
              </w:tc>
              <w:tc>
                <w:tcPr>
                  <w:tcW w:w="1316" w:type="pct"/>
                  <w:noWrap w:val="0"/>
                  <w:vAlign w:val="center"/>
                </w:tcPr>
                <w:p w14:paraId="4BB30693">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预测排放量</w:t>
                  </w:r>
                </w:p>
              </w:tc>
              <w:tc>
                <w:tcPr>
                  <w:tcW w:w="1596" w:type="pct"/>
                  <w:noWrap w:val="0"/>
                  <w:vAlign w:val="center"/>
                </w:tcPr>
                <w:p w14:paraId="6E6BD949">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核定排放量</w:t>
                  </w:r>
                </w:p>
              </w:tc>
            </w:tr>
            <w:tr w14:paraId="2739A7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2" w:type="pct"/>
                  <w:vMerge w:val="restart"/>
                  <w:noWrap w:val="0"/>
                  <w:vAlign w:val="center"/>
                </w:tcPr>
                <w:p w14:paraId="6735EF94">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废气</w:t>
                  </w:r>
                </w:p>
              </w:tc>
              <w:tc>
                <w:tcPr>
                  <w:tcW w:w="1044" w:type="pct"/>
                  <w:noWrap w:val="0"/>
                  <w:vAlign w:val="center"/>
                </w:tcPr>
                <w:p w14:paraId="7B3631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颗粒物</w:t>
                  </w:r>
                </w:p>
              </w:tc>
              <w:tc>
                <w:tcPr>
                  <w:tcW w:w="1316" w:type="pct"/>
                  <w:shd w:val="clear" w:color="auto" w:fill="auto"/>
                  <w:noWrap w:val="0"/>
                  <w:vAlign w:val="center"/>
                </w:tcPr>
                <w:p w14:paraId="4FF876F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0.3</w:t>
                  </w:r>
                  <w:r>
                    <w:rPr>
                      <w:rFonts w:hint="eastAsia" w:cs="Times New Roman"/>
                      <w:color w:val="auto"/>
                      <w:sz w:val="21"/>
                      <w:szCs w:val="21"/>
                      <w:highlight w:val="none"/>
                      <w:lang w:val="en-US" w:eastAsia="zh-CN"/>
                    </w:rPr>
                    <w:t>5</w:t>
                  </w:r>
                </w:p>
              </w:tc>
              <w:tc>
                <w:tcPr>
                  <w:tcW w:w="1596" w:type="pct"/>
                  <w:noWrap w:val="0"/>
                  <w:vAlign w:val="center"/>
                </w:tcPr>
                <w:p w14:paraId="016B93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eastAsia" w:cs="Times New Roman"/>
                      <w:b w:val="0"/>
                      <w:bCs/>
                      <w:color w:val="auto"/>
                      <w:kern w:val="0"/>
                      <w:sz w:val="21"/>
                      <w:szCs w:val="21"/>
                      <w:highlight w:val="none"/>
                      <w:lang w:val="en-US" w:eastAsia="zh-CN"/>
                    </w:rPr>
                    <w:t>1.11</w:t>
                  </w:r>
                </w:p>
              </w:tc>
            </w:tr>
            <w:tr w14:paraId="3F794C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 w:type="pct"/>
                  <w:vMerge w:val="continue"/>
                  <w:noWrap w:val="0"/>
                  <w:vAlign w:val="center"/>
                </w:tcPr>
                <w:p w14:paraId="37E009AE">
                  <w:pPr>
                    <w:adjustRightInd w:val="0"/>
                    <w:snapToGrid w:val="0"/>
                    <w:spacing w:line="240" w:lineRule="auto"/>
                    <w:jc w:val="center"/>
                    <w:rPr>
                      <w:rFonts w:hint="default" w:ascii="Times New Roman" w:hAnsi="Times New Roman" w:eastAsia="宋体" w:cs="Times New Roman"/>
                      <w:bCs/>
                      <w:color w:val="auto"/>
                      <w:sz w:val="21"/>
                      <w:szCs w:val="21"/>
                      <w:highlight w:val="none"/>
                    </w:rPr>
                  </w:pPr>
                </w:p>
              </w:tc>
              <w:tc>
                <w:tcPr>
                  <w:tcW w:w="1044" w:type="pct"/>
                  <w:noWrap w:val="0"/>
                  <w:vAlign w:val="center"/>
                </w:tcPr>
                <w:p w14:paraId="7A4AC5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SO</w:t>
                  </w:r>
                  <w:r>
                    <w:rPr>
                      <w:rFonts w:hint="default" w:ascii="Times New Roman" w:hAnsi="Times New Roman" w:eastAsia="宋体" w:cs="Times New Roman"/>
                      <w:color w:val="auto"/>
                      <w:sz w:val="21"/>
                      <w:szCs w:val="21"/>
                      <w:highlight w:val="none"/>
                      <w:vertAlign w:val="subscript"/>
                    </w:rPr>
                    <w:t>2</w:t>
                  </w:r>
                </w:p>
              </w:tc>
              <w:tc>
                <w:tcPr>
                  <w:tcW w:w="1316" w:type="pct"/>
                  <w:shd w:val="clear" w:color="auto" w:fill="auto"/>
                  <w:noWrap w:val="0"/>
                  <w:vAlign w:val="center"/>
                </w:tcPr>
                <w:p w14:paraId="45C0874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2.15</w:t>
                  </w:r>
                </w:p>
              </w:tc>
              <w:tc>
                <w:tcPr>
                  <w:tcW w:w="1596" w:type="pct"/>
                  <w:noWrap w:val="0"/>
                  <w:vAlign w:val="center"/>
                </w:tcPr>
                <w:p w14:paraId="0A2C6B5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eastAsia" w:cs="Times New Roman"/>
                      <w:b w:val="0"/>
                      <w:bCs/>
                      <w:color w:val="auto"/>
                      <w:sz w:val="21"/>
                      <w:szCs w:val="21"/>
                      <w:highlight w:val="none"/>
                      <w:lang w:val="en-US" w:eastAsia="zh-CN"/>
                    </w:rPr>
                    <w:t>5.31</w:t>
                  </w:r>
                </w:p>
              </w:tc>
            </w:tr>
            <w:tr w14:paraId="16ACA3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1042" w:type="pct"/>
                  <w:vMerge w:val="continue"/>
                  <w:noWrap w:val="0"/>
                  <w:vAlign w:val="center"/>
                </w:tcPr>
                <w:p w14:paraId="46E79494">
                  <w:pPr>
                    <w:adjustRightInd w:val="0"/>
                    <w:snapToGrid w:val="0"/>
                    <w:spacing w:line="240" w:lineRule="auto"/>
                    <w:jc w:val="center"/>
                    <w:rPr>
                      <w:rFonts w:hint="default" w:ascii="Times New Roman" w:hAnsi="Times New Roman" w:eastAsia="宋体" w:cs="Times New Roman"/>
                      <w:bCs/>
                      <w:color w:val="auto"/>
                      <w:sz w:val="21"/>
                      <w:szCs w:val="21"/>
                      <w:highlight w:val="none"/>
                    </w:rPr>
                  </w:pPr>
                </w:p>
              </w:tc>
              <w:tc>
                <w:tcPr>
                  <w:tcW w:w="1044" w:type="pct"/>
                  <w:noWrap w:val="0"/>
                  <w:vAlign w:val="center"/>
                </w:tcPr>
                <w:p w14:paraId="0ED501E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NO</w:t>
                  </w:r>
                  <w:r>
                    <w:rPr>
                      <w:rFonts w:hint="default" w:ascii="Times New Roman" w:hAnsi="Times New Roman" w:eastAsia="宋体" w:cs="Times New Roman"/>
                      <w:color w:val="auto"/>
                      <w:sz w:val="21"/>
                      <w:szCs w:val="21"/>
                      <w:highlight w:val="none"/>
                      <w:vertAlign w:val="subscript"/>
                    </w:rPr>
                    <w:t>X</w:t>
                  </w:r>
                </w:p>
              </w:tc>
              <w:tc>
                <w:tcPr>
                  <w:tcW w:w="1316" w:type="pct"/>
                  <w:shd w:val="clear" w:color="auto" w:fill="auto"/>
                  <w:noWrap w:val="0"/>
                  <w:vAlign w:val="center"/>
                </w:tcPr>
                <w:p w14:paraId="2C458FD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4.43</w:t>
                  </w:r>
                </w:p>
              </w:tc>
              <w:tc>
                <w:tcPr>
                  <w:tcW w:w="1596" w:type="pct"/>
                  <w:noWrap w:val="0"/>
                  <w:vAlign w:val="center"/>
                </w:tcPr>
                <w:p w14:paraId="6E125D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eastAsia" w:cs="Times New Roman"/>
                      <w:b w:val="0"/>
                      <w:bCs/>
                      <w:color w:val="auto"/>
                      <w:sz w:val="21"/>
                      <w:szCs w:val="21"/>
                      <w:highlight w:val="none"/>
                      <w:lang w:val="en-US" w:eastAsia="zh-CN"/>
                    </w:rPr>
                    <w:t>6.64</w:t>
                  </w:r>
                </w:p>
              </w:tc>
            </w:tr>
            <w:tr w14:paraId="62AF90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042" w:type="pct"/>
                  <w:noWrap w:val="0"/>
                  <w:vAlign w:val="center"/>
                </w:tcPr>
                <w:p w14:paraId="39C48980">
                  <w:pPr>
                    <w:adjustRightInd w:val="0"/>
                    <w:snapToGrid w:val="0"/>
                    <w:spacing w:line="240" w:lineRule="auto"/>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废水</w:t>
                  </w:r>
                </w:p>
              </w:tc>
              <w:tc>
                <w:tcPr>
                  <w:tcW w:w="1044" w:type="pct"/>
                  <w:noWrap w:val="0"/>
                  <w:vAlign w:val="center"/>
                </w:tcPr>
                <w:p w14:paraId="753777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COD</w:t>
                  </w:r>
                </w:p>
              </w:tc>
              <w:tc>
                <w:tcPr>
                  <w:tcW w:w="1316" w:type="pct"/>
                  <w:shd w:val="clear" w:color="auto" w:fill="auto"/>
                  <w:noWrap w:val="0"/>
                  <w:vAlign w:val="center"/>
                </w:tcPr>
                <w:p w14:paraId="76B3B34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0.11</w:t>
                  </w:r>
                </w:p>
              </w:tc>
              <w:tc>
                <w:tcPr>
                  <w:tcW w:w="1596" w:type="pct"/>
                  <w:noWrap w:val="0"/>
                  <w:vAlign w:val="center"/>
                </w:tcPr>
                <w:p w14:paraId="17993D0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0.</w:t>
                  </w:r>
                  <w:r>
                    <w:rPr>
                      <w:rFonts w:hint="eastAsia" w:cs="Times New Roman"/>
                      <w:b w:val="0"/>
                      <w:bCs/>
                      <w:color w:val="auto"/>
                      <w:sz w:val="21"/>
                      <w:szCs w:val="21"/>
                      <w:highlight w:val="none"/>
                      <w:lang w:val="en-US" w:eastAsia="zh-CN"/>
                    </w:rPr>
                    <w:t>62</w:t>
                  </w:r>
                </w:p>
              </w:tc>
            </w:tr>
          </w:tbl>
          <w:p w14:paraId="0B53AE43">
            <w:pPr>
              <w:rPr>
                <w:rFonts w:hint="default" w:ascii="Times New Roman" w:hAnsi="Times New Roman" w:eastAsia="宋体" w:cs="Times New Roman"/>
                <w:b w:val="0"/>
                <w:bCs w:val="0"/>
                <w:i w:val="0"/>
                <w:iCs w:val="0"/>
                <w:color w:val="auto"/>
                <w:kern w:val="2"/>
                <w:sz w:val="21"/>
                <w:szCs w:val="24"/>
                <w:highlight w:val="none"/>
                <w:vertAlign w:val="baseline"/>
                <w:lang w:val="en-US" w:eastAsia="zh-CN" w:bidi="ar-SA"/>
              </w:rPr>
            </w:pPr>
          </w:p>
          <w:p w14:paraId="33F196A4">
            <w:pPr>
              <w:pStyle w:val="120"/>
              <w:kinsoku w:val="0"/>
              <w:overflowPunct w:val="0"/>
              <w:autoSpaceDE w:val="0"/>
              <w:autoSpaceDN w:val="0"/>
              <w:adjustRightInd w:val="0"/>
              <w:snapToGrid w:val="0"/>
              <w:outlineLvl w:val="9"/>
              <w:rPr>
                <w:rFonts w:hint="default" w:ascii="Times New Roman" w:hAnsi="Times New Roman" w:eastAsia="宋体" w:cs="Times New Roman"/>
                <w:color w:val="auto"/>
                <w:sz w:val="21"/>
                <w:szCs w:val="22"/>
                <w:highlight w:val="none"/>
              </w:rPr>
            </w:pPr>
            <w:r>
              <w:rPr>
                <w:rFonts w:hint="default" w:ascii="Times New Roman" w:hAnsi="Times New Roman" w:eastAsia="宋体" w:cs="Times New Roman"/>
                <w:b/>
                <w:bCs/>
                <w:color w:val="auto"/>
                <w:sz w:val="21"/>
                <w:szCs w:val="22"/>
                <w:highlight w:val="none"/>
              </w:rPr>
              <w:t>表3</w:t>
            </w:r>
            <w:r>
              <w:rPr>
                <w:rFonts w:hint="default" w:ascii="Times New Roman" w:hAnsi="Times New Roman" w:eastAsia="宋体" w:cs="Times New Roman"/>
                <w:b/>
                <w:bCs/>
                <w:color w:val="auto"/>
                <w:sz w:val="21"/>
                <w:szCs w:val="22"/>
                <w:highlight w:val="none"/>
                <w:lang w:val="en-US" w:eastAsia="zh-CN"/>
              </w:rPr>
              <w:t>-</w:t>
            </w:r>
            <w:r>
              <w:rPr>
                <w:rFonts w:hint="eastAsia" w:cs="Times New Roman"/>
                <w:b/>
                <w:bCs/>
                <w:color w:val="auto"/>
                <w:sz w:val="21"/>
                <w:szCs w:val="22"/>
                <w:highlight w:val="none"/>
                <w:lang w:val="en-US" w:eastAsia="zh-CN"/>
              </w:rPr>
              <w:t>9</w:t>
            </w:r>
            <w:r>
              <w:rPr>
                <w:rFonts w:hint="default" w:ascii="Times New Roman" w:hAnsi="Times New Roman" w:eastAsia="宋体" w:cs="Times New Roman"/>
                <w:b/>
                <w:bCs/>
                <w:color w:val="auto"/>
                <w:sz w:val="21"/>
                <w:szCs w:val="22"/>
                <w:highlight w:val="none"/>
              </w:rPr>
              <w:t xml:space="preserve"> </w:t>
            </w:r>
            <w:r>
              <w:rPr>
                <w:rFonts w:hint="default" w:ascii="Times New Roman" w:hAnsi="Times New Roman" w:eastAsia="宋体" w:cs="Times New Roman"/>
                <w:b/>
                <w:bCs/>
                <w:caps w:val="0"/>
                <w:smallCaps w:val="0"/>
                <w:color w:val="auto"/>
                <w:spacing w:val="0"/>
                <w:sz w:val="21"/>
                <w:szCs w:val="22"/>
                <w:highlight w:val="none"/>
              </w:rPr>
              <w:t>本项目污染物排放</w:t>
            </w:r>
            <w:r>
              <w:rPr>
                <w:rFonts w:hint="default" w:ascii="Times New Roman" w:hAnsi="Times New Roman" w:eastAsia="宋体" w:cs="Times New Roman"/>
                <w:b/>
                <w:bCs/>
                <w:caps w:val="0"/>
                <w:smallCaps w:val="0"/>
                <w:color w:val="auto"/>
                <w:spacing w:val="0"/>
                <w:sz w:val="21"/>
                <w:szCs w:val="22"/>
                <w:highlight w:val="none"/>
                <w:lang w:val="en-US" w:eastAsia="zh-CN"/>
              </w:rPr>
              <w:t>量</w:t>
            </w:r>
            <w:r>
              <w:rPr>
                <w:rFonts w:hint="default" w:ascii="Times New Roman" w:hAnsi="Times New Roman" w:eastAsia="宋体" w:cs="Times New Roman"/>
                <w:b/>
                <w:bCs/>
                <w:caps w:val="0"/>
                <w:smallCaps w:val="0"/>
                <w:color w:val="auto"/>
                <w:spacing w:val="0"/>
                <w:sz w:val="21"/>
                <w:szCs w:val="22"/>
                <w:highlight w:val="none"/>
              </w:rPr>
              <w:t>“三本账”一览表</w:t>
            </w:r>
            <w:r>
              <w:rPr>
                <w:rFonts w:hint="default" w:ascii="Times New Roman" w:hAnsi="Times New Roman" w:eastAsia="宋体" w:cs="Times New Roman"/>
                <w:b/>
                <w:bCs/>
                <w:caps w:val="0"/>
                <w:smallCaps w:val="0"/>
                <w:color w:val="auto"/>
                <w:spacing w:val="0"/>
                <w:sz w:val="21"/>
                <w:szCs w:val="22"/>
                <w:highlight w:val="none"/>
                <w:lang w:val="en-US" w:eastAsia="zh-CN"/>
              </w:rPr>
              <w:t xml:space="preserve">   </w:t>
            </w:r>
            <w:r>
              <w:rPr>
                <w:rFonts w:hint="default" w:ascii="Times New Roman" w:hAnsi="Times New Roman" w:eastAsia="宋体" w:cs="Times New Roman"/>
                <w:b/>
                <w:bCs/>
                <w:color w:val="auto"/>
                <w:kern w:val="2"/>
                <w:sz w:val="21"/>
                <w:szCs w:val="22"/>
                <w:highlight w:val="none"/>
                <w:lang w:val="en-US" w:eastAsia="zh-CN" w:bidi="ar-SA"/>
              </w:rPr>
              <w:t>单位：t/a</w:t>
            </w:r>
            <w:r>
              <w:rPr>
                <w:rFonts w:hint="default" w:ascii="Times New Roman" w:hAnsi="Times New Roman" w:eastAsia="宋体" w:cs="Times New Roman"/>
                <w:b/>
                <w:bCs/>
                <w:color w:val="auto"/>
                <w:sz w:val="21"/>
                <w:szCs w:val="22"/>
                <w:highlight w:val="none"/>
              </w:rPr>
              <w:t xml:space="preserve">  </w:t>
            </w:r>
          </w:p>
          <w:tbl>
            <w:tblPr>
              <w:tblStyle w:val="42"/>
              <w:tblW w:w="4995"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96"/>
              <w:gridCol w:w="876"/>
              <w:gridCol w:w="876"/>
              <w:gridCol w:w="876"/>
              <w:gridCol w:w="876"/>
              <w:gridCol w:w="1090"/>
              <w:gridCol w:w="1105"/>
              <w:gridCol w:w="968"/>
              <w:gridCol w:w="990"/>
            </w:tblGrid>
            <w:tr w14:paraId="2B744F4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59" w:hRule="atLeast"/>
              </w:trPr>
              <w:tc>
                <w:tcPr>
                  <w:tcW w:w="416" w:type="pct"/>
                  <w:tcBorders>
                    <w:tl2br w:val="nil"/>
                    <w:tr2bl w:val="nil"/>
                  </w:tcBorders>
                  <w:noWrap w:val="0"/>
                  <w:vAlign w:val="center"/>
                </w:tcPr>
                <w:p w14:paraId="366434A0">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sz w:val="21"/>
                      <w:szCs w:val="21"/>
                      <w:highlight w:val="none"/>
                      <w:u w:val="none"/>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污染物</w:t>
                  </w:r>
                </w:p>
              </w:tc>
              <w:tc>
                <w:tcPr>
                  <w:tcW w:w="524" w:type="pct"/>
                  <w:tcBorders>
                    <w:tl2br w:val="nil"/>
                    <w:tr2bl w:val="nil"/>
                  </w:tcBorders>
                  <w:noWrap w:val="0"/>
                  <w:vAlign w:val="center"/>
                </w:tcPr>
                <w:p w14:paraId="20EC1900">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现有工程实际排放量</w:t>
                  </w:r>
                </w:p>
              </w:tc>
              <w:tc>
                <w:tcPr>
                  <w:tcW w:w="524" w:type="pct"/>
                  <w:tcBorders>
                    <w:tl2br w:val="nil"/>
                    <w:tr2bl w:val="nil"/>
                  </w:tcBorders>
                  <w:noWrap w:val="0"/>
                  <w:vAlign w:val="center"/>
                </w:tcPr>
                <w:p w14:paraId="3CBD55A3">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现有工程核定排放量</w:t>
                  </w:r>
                </w:p>
              </w:tc>
              <w:tc>
                <w:tcPr>
                  <w:tcW w:w="524" w:type="pct"/>
                  <w:tcBorders>
                    <w:tl2br w:val="nil"/>
                    <w:tr2bl w:val="nil"/>
                  </w:tcBorders>
                  <w:noWrap w:val="0"/>
                  <w:vAlign w:val="center"/>
                </w:tcPr>
                <w:p w14:paraId="5F536BF2">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本工程预测排放量</w:t>
                  </w:r>
                </w:p>
              </w:tc>
              <w:tc>
                <w:tcPr>
                  <w:tcW w:w="524" w:type="pct"/>
                  <w:tcBorders>
                    <w:tl2br w:val="nil"/>
                    <w:tr2bl w:val="nil"/>
                  </w:tcBorders>
                  <w:noWrap w:val="0"/>
                  <w:vAlign w:val="center"/>
                </w:tcPr>
                <w:p w14:paraId="5164A697">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sz w:val="21"/>
                      <w:szCs w:val="21"/>
                      <w:highlight w:val="none"/>
                      <w:u w:val="none"/>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本工程核定排放量</w:t>
                  </w:r>
                </w:p>
              </w:tc>
              <w:tc>
                <w:tcPr>
                  <w:tcW w:w="652" w:type="pct"/>
                  <w:tcBorders>
                    <w:tl2br w:val="nil"/>
                    <w:tr2bl w:val="nil"/>
                  </w:tcBorders>
                  <w:noWrap w:val="0"/>
                  <w:vAlign w:val="center"/>
                </w:tcPr>
                <w:p w14:paraId="48261B31">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sz w:val="21"/>
                      <w:szCs w:val="21"/>
                      <w:highlight w:val="none"/>
                      <w:u w:val="none"/>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“以新带老”削减量</w:t>
                  </w:r>
                </w:p>
              </w:tc>
              <w:tc>
                <w:tcPr>
                  <w:tcW w:w="661" w:type="pct"/>
                  <w:tcBorders>
                    <w:tl2br w:val="nil"/>
                    <w:tr2bl w:val="nil"/>
                  </w:tcBorders>
                  <w:noWrap w:val="0"/>
                  <w:vAlign w:val="center"/>
                </w:tcPr>
                <w:p w14:paraId="00095A57">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sz w:val="21"/>
                      <w:szCs w:val="21"/>
                      <w:highlight w:val="none"/>
                      <w:u w:val="none"/>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区域平衡替代本工程削减量</w:t>
                  </w:r>
                </w:p>
              </w:tc>
              <w:tc>
                <w:tcPr>
                  <w:tcW w:w="579" w:type="pct"/>
                  <w:tcBorders>
                    <w:tl2br w:val="nil"/>
                    <w:tr2bl w:val="nil"/>
                  </w:tcBorders>
                  <w:noWrap w:val="0"/>
                  <w:vAlign w:val="center"/>
                </w:tcPr>
                <w:p w14:paraId="6C3DF5F0">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sz w:val="21"/>
                      <w:szCs w:val="21"/>
                      <w:highlight w:val="none"/>
                      <w:u w:val="none"/>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总体工程核定排放总量</w:t>
                  </w:r>
                </w:p>
              </w:tc>
              <w:tc>
                <w:tcPr>
                  <w:tcW w:w="592" w:type="pct"/>
                  <w:tcBorders>
                    <w:tl2br w:val="nil"/>
                    <w:tr2bl w:val="nil"/>
                  </w:tcBorders>
                  <w:noWrap w:val="0"/>
                  <w:vAlign w:val="center"/>
                </w:tcPr>
                <w:p w14:paraId="67180E2A">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sz w:val="21"/>
                      <w:szCs w:val="21"/>
                      <w:highlight w:val="none"/>
                      <w:u w:val="none"/>
                    </w:rPr>
                  </w:pPr>
                  <w:r>
                    <w:rPr>
                      <w:rFonts w:hint="eastAsia" w:ascii="Times New Roman" w:hAnsi="Times New Roman" w:eastAsia="宋体" w:cs="Times New Roman"/>
                      <w:i w:val="0"/>
                      <w:iCs w:val="0"/>
                      <w:caps w:val="0"/>
                      <w:smallCaps w:val="0"/>
                      <w:color w:val="auto"/>
                      <w:spacing w:val="0"/>
                      <w:kern w:val="0"/>
                      <w:sz w:val="21"/>
                      <w:szCs w:val="21"/>
                      <w:highlight w:val="none"/>
                      <w:u w:val="none"/>
                      <w:lang w:val="en-US" w:eastAsia="zh-CN" w:bidi="ar"/>
                    </w:rPr>
                    <w:t>核定</w:t>
                  </w: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排放</w:t>
                  </w:r>
                  <w:r>
                    <w:rPr>
                      <w:rFonts w:hint="eastAsia" w:ascii="Times New Roman" w:hAnsi="Times New Roman" w:eastAsia="宋体" w:cs="Times New Roman"/>
                      <w:i w:val="0"/>
                      <w:iCs w:val="0"/>
                      <w:caps w:val="0"/>
                      <w:smallCaps w:val="0"/>
                      <w:color w:val="auto"/>
                      <w:spacing w:val="0"/>
                      <w:kern w:val="0"/>
                      <w:sz w:val="21"/>
                      <w:szCs w:val="21"/>
                      <w:highlight w:val="none"/>
                      <w:u w:val="none"/>
                      <w:lang w:val="en-US" w:eastAsia="zh-CN" w:bidi="ar"/>
                    </w:rPr>
                    <w:t>量</w:t>
                  </w: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增减量</w:t>
                  </w:r>
                </w:p>
              </w:tc>
            </w:tr>
            <w:tr w14:paraId="239063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2" w:hRule="atLeast"/>
              </w:trPr>
              <w:tc>
                <w:tcPr>
                  <w:tcW w:w="416" w:type="pct"/>
                  <w:tcBorders>
                    <w:tl2br w:val="nil"/>
                    <w:tr2bl w:val="nil"/>
                  </w:tcBorders>
                  <w:noWrap w:val="0"/>
                  <w:vAlign w:val="center"/>
                </w:tcPr>
                <w:p w14:paraId="76E4B13D">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sz w:val="21"/>
                      <w:szCs w:val="21"/>
                      <w:highlight w:val="none"/>
                      <w:u w:val="none"/>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颗粒物</w:t>
                  </w:r>
                </w:p>
              </w:tc>
              <w:tc>
                <w:tcPr>
                  <w:tcW w:w="524" w:type="pct"/>
                  <w:tcBorders>
                    <w:tl2br w:val="nil"/>
                    <w:tr2bl w:val="nil"/>
                  </w:tcBorders>
                  <w:shd w:val="clear" w:color="auto" w:fill="auto"/>
                  <w:noWrap w:val="0"/>
                  <w:vAlign w:val="center"/>
                </w:tcPr>
                <w:p w14:paraId="73598F73">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0.03</w:t>
                  </w:r>
                </w:p>
              </w:tc>
              <w:tc>
                <w:tcPr>
                  <w:tcW w:w="524" w:type="pct"/>
                  <w:tcBorders>
                    <w:tl2br w:val="nil"/>
                    <w:tr2bl w:val="nil"/>
                  </w:tcBorders>
                  <w:shd w:val="clear" w:color="auto" w:fill="auto"/>
                  <w:noWrap w:val="0"/>
                  <w:vAlign w:val="center"/>
                </w:tcPr>
                <w:p w14:paraId="3FCD979A">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0.38</w:t>
                  </w:r>
                </w:p>
              </w:tc>
              <w:tc>
                <w:tcPr>
                  <w:tcW w:w="524" w:type="pct"/>
                  <w:tcBorders>
                    <w:tl2br w:val="nil"/>
                    <w:tr2bl w:val="nil"/>
                  </w:tcBorders>
                  <w:shd w:val="clear" w:color="auto" w:fill="auto"/>
                  <w:noWrap w:val="0"/>
                  <w:vAlign w:val="center"/>
                </w:tcPr>
                <w:p w14:paraId="0F117C1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0.3</w:t>
                  </w:r>
                  <w:r>
                    <w:rPr>
                      <w:rFonts w:hint="eastAsia" w:ascii="Times New Roman" w:hAnsi="Times New Roman" w:eastAsia="宋体" w:cs="Times New Roman"/>
                      <w:color w:val="auto"/>
                      <w:sz w:val="21"/>
                      <w:szCs w:val="21"/>
                      <w:highlight w:val="none"/>
                      <w:lang w:val="en-US" w:eastAsia="zh-CN"/>
                    </w:rPr>
                    <w:t>5</w:t>
                  </w:r>
                </w:p>
              </w:tc>
              <w:tc>
                <w:tcPr>
                  <w:tcW w:w="524" w:type="pct"/>
                  <w:tcBorders>
                    <w:tl2br w:val="nil"/>
                    <w:tr2bl w:val="nil"/>
                  </w:tcBorders>
                  <w:shd w:val="clear" w:color="auto" w:fill="auto"/>
                  <w:noWrap w:val="0"/>
                  <w:vAlign w:val="center"/>
                </w:tcPr>
                <w:p w14:paraId="0B8DA7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kern w:val="0"/>
                      <w:sz w:val="21"/>
                      <w:szCs w:val="21"/>
                      <w:highlight w:val="none"/>
                      <w:lang w:val="en-US" w:eastAsia="zh-CN"/>
                    </w:rPr>
                    <w:t>1.11</w:t>
                  </w:r>
                </w:p>
              </w:tc>
              <w:tc>
                <w:tcPr>
                  <w:tcW w:w="652" w:type="pct"/>
                  <w:tcBorders>
                    <w:tl2br w:val="nil"/>
                    <w:tr2bl w:val="nil"/>
                  </w:tcBorders>
                  <w:shd w:val="clear" w:color="auto" w:fill="auto"/>
                  <w:noWrap w:val="0"/>
                  <w:vAlign w:val="center"/>
                </w:tcPr>
                <w:p w14:paraId="740FDD18">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0.3</w:t>
                  </w:r>
                  <w:r>
                    <w:rPr>
                      <w:rFonts w:hint="eastAsia" w:cs="Times New Roman"/>
                      <w:b w:val="0"/>
                      <w:bCs/>
                      <w:color w:val="auto"/>
                      <w:kern w:val="2"/>
                      <w:sz w:val="21"/>
                      <w:szCs w:val="21"/>
                      <w:highlight w:val="none"/>
                      <w:lang w:val="en-US" w:eastAsia="zh-CN" w:bidi="ar-SA"/>
                    </w:rPr>
                    <w:t>8</w:t>
                  </w:r>
                </w:p>
              </w:tc>
              <w:tc>
                <w:tcPr>
                  <w:tcW w:w="661" w:type="pct"/>
                  <w:tcBorders>
                    <w:tl2br w:val="nil"/>
                    <w:tr2bl w:val="nil"/>
                  </w:tcBorders>
                  <w:noWrap w:val="0"/>
                  <w:vAlign w:val="center"/>
                </w:tcPr>
                <w:p w14:paraId="17280DA6">
                  <w:pPr>
                    <w:keepNext w:val="0"/>
                    <w:keepLines w:val="0"/>
                    <w:widowControl/>
                    <w:suppressLineNumbers w:val="0"/>
                    <w:jc w:val="center"/>
                    <w:textAlignment w:val="center"/>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0</w:t>
                  </w:r>
                </w:p>
              </w:tc>
              <w:tc>
                <w:tcPr>
                  <w:tcW w:w="579" w:type="pct"/>
                  <w:tcBorders>
                    <w:tl2br w:val="nil"/>
                    <w:tr2bl w:val="nil"/>
                  </w:tcBorders>
                  <w:shd w:val="clear" w:color="auto" w:fill="auto"/>
                  <w:noWrap w:val="0"/>
                  <w:vAlign w:val="center"/>
                </w:tcPr>
                <w:p w14:paraId="21EAC0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kern w:val="0"/>
                      <w:sz w:val="21"/>
                      <w:szCs w:val="21"/>
                      <w:highlight w:val="none"/>
                      <w:lang w:val="en-US" w:eastAsia="zh-CN"/>
                    </w:rPr>
                    <w:t>1.11</w:t>
                  </w:r>
                </w:p>
              </w:tc>
              <w:tc>
                <w:tcPr>
                  <w:tcW w:w="592" w:type="pct"/>
                  <w:tcBorders>
                    <w:tl2br w:val="nil"/>
                    <w:tr2bl w:val="nil"/>
                  </w:tcBorders>
                  <w:shd w:val="clear" w:color="auto" w:fill="auto"/>
                  <w:noWrap w:val="0"/>
                  <w:vAlign w:val="center"/>
                </w:tcPr>
                <w:p w14:paraId="59B5569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0.73</w:t>
                  </w:r>
                </w:p>
              </w:tc>
            </w:tr>
            <w:tr w14:paraId="6524E9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7" w:hRule="atLeast"/>
              </w:trPr>
              <w:tc>
                <w:tcPr>
                  <w:tcW w:w="416" w:type="pct"/>
                  <w:tcBorders>
                    <w:tl2br w:val="nil"/>
                    <w:tr2bl w:val="nil"/>
                  </w:tcBorders>
                  <w:noWrap w:val="0"/>
                  <w:vAlign w:val="center"/>
                </w:tcPr>
                <w:p w14:paraId="18A1EFCE">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sz w:val="21"/>
                      <w:szCs w:val="21"/>
                      <w:highlight w:val="none"/>
                      <w:u w:val="none"/>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SO</w:t>
                  </w:r>
                  <w:r>
                    <w:rPr>
                      <w:rFonts w:hint="default" w:ascii="Times New Roman" w:hAnsi="Times New Roman" w:eastAsia="宋体" w:cs="Times New Roman"/>
                      <w:i w:val="0"/>
                      <w:iCs w:val="0"/>
                      <w:caps w:val="0"/>
                      <w:smallCaps w:val="0"/>
                      <w:color w:val="auto"/>
                      <w:spacing w:val="0"/>
                      <w:kern w:val="0"/>
                      <w:sz w:val="21"/>
                      <w:szCs w:val="21"/>
                      <w:highlight w:val="none"/>
                      <w:u w:val="none"/>
                      <w:vertAlign w:val="subscript"/>
                      <w:lang w:val="en-US" w:eastAsia="zh-CN" w:bidi="ar"/>
                    </w:rPr>
                    <w:t>2</w:t>
                  </w:r>
                </w:p>
              </w:tc>
              <w:tc>
                <w:tcPr>
                  <w:tcW w:w="524" w:type="pct"/>
                  <w:tcBorders>
                    <w:tl2br w:val="nil"/>
                    <w:tr2bl w:val="nil"/>
                  </w:tcBorders>
                  <w:shd w:val="clear" w:color="auto" w:fill="auto"/>
                  <w:noWrap w:val="0"/>
                  <w:vAlign w:val="center"/>
                </w:tcPr>
                <w:p w14:paraId="735FC9B7">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1.36</w:t>
                  </w:r>
                </w:p>
              </w:tc>
              <w:tc>
                <w:tcPr>
                  <w:tcW w:w="524" w:type="pct"/>
                  <w:tcBorders>
                    <w:tl2br w:val="nil"/>
                    <w:tr2bl w:val="nil"/>
                  </w:tcBorders>
                  <w:shd w:val="clear" w:color="auto" w:fill="auto"/>
                  <w:noWrap w:val="0"/>
                  <w:vAlign w:val="center"/>
                </w:tcPr>
                <w:p w14:paraId="11660E9B">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1.53</w:t>
                  </w:r>
                </w:p>
              </w:tc>
              <w:tc>
                <w:tcPr>
                  <w:tcW w:w="524" w:type="pct"/>
                  <w:tcBorders>
                    <w:tl2br w:val="nil"/>
                    <w:tr2bl w:val="nil"/>
                  </w:tcBorders>
                  <w:shd w:val="clear" w:color="auto" w:fill="auto"/>
                  <w:noWrap w:val="0"/>
                  <w:vAlign w:val="center"/>
                </w:tcPr>
                <w:p w14:paraId="087D33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2.15</w:t>
                  </w:r>
                </w:p>
              </w:tc>
              <w:tc>
                <w:tcPr>
                  <w:tcW w:w="524" w:type="pct"/>
                  <w:tcBorders>
                    <w:tl2br w:val="nil"/>
                    <w:tr2bl w:val="nil"/>
                  </w:tcBorders>
                  <w:shd w:val="clear" w:color="auto" w:fill="auto"/>
                  <w:noWrap w:val="0"/>
                  <w:vAlign w:val="center"/>
                </w:tcPr>
                <w:p w14:paraId="66CACB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sz w:val="21"/>
                      <w:szCs w:val="21"/>
                      <w:highlight w:val="none"/>
                      <w:lang w:val="en-US" w:eastAsia="zh-CN"/>
                    </w:rPr>
                    <w:t>5.31</w:t>
                  </w:r>
                </w:p>
              </w:tc>
              <w:tc>
                <w:tcPr>
                  <w:tcW w:w="652" w:type="pct"/>
                  <w:tcBorders>
                    <w:tl2br w:val="nil"/>
                    <w:tr2bl w:val="nil"/>
                  </w:tcBorders>
                  <w:shd w:val="clear" w:color="auto" w:fill="auto"/>
                  <w:noWrap w:val="0"/>
                  <w:vAlign w:val="center"/>
                </w:tcPr>
                <w:p w14:paraId="76F6D1A0">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1.53</w:t>
                  </w:r>
                </w:p>
              </w:tc>
              <w:tc>
                <w:tcPr>
                  <w:tcW w:w="661" w:type="pct"/>
                  <w:tcBorders>
                    <w:tl2br w:val="nil"/>
                    <w:tr2bl w:val="nil"/>
                  </w:tcBorders>
                  <w:noWrap w:val="0"/>
                  <w:vAlign w:val="center"/>
                </w:tcPr>
                <w:p w14:paraId="6DD52E6F">
                  <w:pPr>
                    <w:keepNext w:val="0"/>
                    <w:keepLines w:val="0"/>
                    <w:widowControl/>
                    <w:suppressLineNumbers w:val="0"/>
                    <w:jc w:val="center"/>
                    <w:textAlignment w:val="center"/>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0</w:t>
                  </w:r>
                </w:p>
              </w:tc>
              <w:tc>
                <w:tcPr>
                  <w:tcW w:w="579" w:type="pct"/>
                  <w:tcBorders>
                    <w:tl2br w:val="nil"/>
                    <w:tr2bl w:val="nil"/>
                  </w:tcBorders>
                  <w:shd w:val="clear" w:color="auto" w:fill="auto"/>
                  <w:noWrap w:val="0"/>
                  <w:vAlign w:val="center"/>
                </w:tcPr>
                <w:p w14:paraId="7559F12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sz w:val="21"/>
                      <w:szCs w:val="21"/>
                      <w:highlight w:val="none"/>
                      <w:lang w:val="en-US" w:eastAsia="zh-CN"/>
                    </w:rPr>
                    <w:t>5.31</w:t>
                  </w:r>
                </w:p>
              </w:tc>
              <w:tc>
                <w:tcPr>
                  <w:tcW w:w="592" w:type="pct"/>
                  <w:tcBorders>
                    <w:tl2br w:val="nil"/>
                    <w:tr2bl w:val="nil"/>
                  </w:tcBorders>
                  <w:shd w:val="clear" w:color="auto" w:fill="auto"/>
                  <w:noWrap w:val="0"/>
                  <w:vAlign w:val="center"/>
                </w:tcPr>
                <w:p w14:paraId="271F6FF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+3.78</w:t>
                  </w:r>
                </w:p>
              </w:tc>
            </w:tr>
            <w:tr w14:paraId="1FC6A4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50" w:hRule="atLeast"/>
              </w:trPr>
              <w:tc>
                <w:tcPr>
                  <w:tcW w:w="416" w:type="pct"/>
                  <w:tcBorders>
                    <w:tl2br w:val="nil"/>
                    <w:tr2bl w:val="nil"/>
                  </w:tcBorders>
                  <w:noWrap w:val="0"/>
                  <w:vAlign w:val="center"/>
                </w:tcPr>
                <w:p w14:paraId="1560DB6A">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sz w:val="21"/>
                      <w:szCs w:val="21"/>
                      <w:highlight w:val="none"/>
                      <w:u w:val="none"/>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NOx</w:t>
                  </w:r>
                </w:p>
              </w:tc>
              <w:tc>
                <w:tcPr>
                  <w:tcW w:w="524" w:type="pct"/>
                  <w:tcBorders>
                    <w:tl2br w:val="nil"/>
                    <w:tr2bl w:val="nil"/>
                  </w:tcBorders>
                  <w:shd w:val="clear" w:color="auto" w:fill="auto"/>
                  <w:noWrap w:val="0"/>
                  <w:vAlign w:val="center"/>
                </w:tcPr>
                <w:p w14:paraId="5B2740D5">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lang w:val="en-US" w:eastAsia="zh-CN"/>
                    </w:rPr>
                    <w:t>8</w:t>
                  </w:r>
                </w:p>
              </w:tc>
              <w:tc>
                <w:tcPr>
                  <w:tcW w:w="524" w:type="pct"/>
                  <w:tcBorders>
                    <w:tl2br w:val="nil"/>
                    <w:tr2bl w:val="nil"/>
                  </w:tcBorders>
                  <w:shd w:val="clear" w:color="auto" w:fill="auto"/>
                  <w:noWrap w:val="0"/>
                  <w:vAlign w:val="center"/>
                </w:tcPr>
                <w:p w14:paraId="13ED1991">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sz w:val="21"/>
                      <w:szCs w:val="21"/>
                      <w:highlight w:val="none"/>
                      <w:lang w:val="en-US" w:eastAsia="zh-CN"/>
                    </w:rPr>
                    <w:t>1.9</w:t>
                  </w:r>
                  <w:r>
                    <w:rPr>
                      <w:rFonts w:hint="eastAsia" w:cs="Times New Roman"/>
                      <w:b w:val="0"/>
                      <w:bCs/>
                      <w:color w:val="auto"/>
                      <w:sz w:val="21"/>
                      <w:szCs w:val="21"/>
                      <w:highlight w:val="none"/>
                      <w:lang w:val="en-US" w:eastAsia="zh-CN"/>
                    </w:rPr>
                    <w:t>2</w:t>
                  </w:r>
                </w:p>
              </w:tc>
              <w:tc>
                <w:tcPr>
                  <w:tcW w:w="524" w:type="pct"/>
                  <w:tcBorders>
                    <w:tl2br w:val="nil"/>
                    <w:tr2bl w:val="nil"/>
                  </w:tcBorders>
                  <w:shd w:val="clear" w:color="auto" w:fill="auto"/>
                  <w:noWrap w:val="0"/>
                  <w:vAlign w:val="center"/>
                </w:tcPr>
                <w:p w14:paraId="1C054B4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4.43</w:t>
                  </w:r>
                </w:p>
              </w:tc>
              <w:tc>
                <w:tcPr>
                  <w:tcW w:w="524" w:type="pct"/>
                  <w:tcBorders>
                    <w:tl2br w:val="nil"/>
                    <w:tr2bl w:val="nil"/>
                  </w:tcBorders>
                  <w:shd w:val="clear" w:color="auto" w:fill="auto"/>
                  <w:noWrap w:val="0"/>
                  <w:vAlign w:val="center"/>
                </w:tcPr>
                <w:p w14:paraId="761FBB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sz w:val="21"/>
                      <w:szCs w:val="21"/>
                      <w:highlight w:val="none"/>
                      <w:lang w:val="en-US" w:eastAsia="zh-CN"/>
                    </w:rPr>
                    <w:t>6.64</w:t>
                  </w:r>
                </w:p>
              </w:tc>
              <w:tc>
                <w:tcPr>
                  <w:tcW w:w="652" w:type="pct"/>
                  <w:tcBorders>
                    <w:tl2br w:val="nil"/>
                    <w:tr2bl w:val="nil"/>
                  </w:tcBorders>
                  <w:shd w:val="clear" w:color="auto" w:fill="auto"/>
                  <w:noWrap w:val="0"/>
                  <w:vAlign w:val="center"/>
                </w:tcPr>
                <w:p w14:paraId="1B3863D4">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sz w:val="21"/>
                      <w:szCs w:val="21"/>
                      <w:highlight w:val="none"/>
                      <w:lang w:val="en-US" w:eastAsia="zh-CN"/>
                    </w:rPr>
                    <w:t>1.9</w:t>
                  </w:r>
                  <w:r>
                    <w:rPr>
                      <w:rFonts w:hint="eastAsia" w:cs="Times New Roman"/>
                      <w:b w:val="0"/>
                      <w:bCs/>
                      <w:color w:val="auto"/>
                      <w:sz w:val="21"/>
                      <w:szCs w:val="21"/>
                      <w:highlight w:val="none"/>
                      <w:lang w:val="en-US" w:eastAsia="zh-CN"/>
                    </w:rPr>
                    <w:t>2</w:t>
                  </w:r>
                </w:p>
              </w:tc>
              <w:tc>
                <w:tcPr>
                  <w:tcW w:w="661" w:type="pct"/>
                  <w:tcBorders>
                    <w:tl2br w:val="nil"/>
                    <w:tr2bl w:val="nil"/>
                  </w:tcBorders>
                  <w:noWrap w:val="0"/>
                  <w:vAlign w:val="center"/>
                </w:tcPr>
                <w:p w14:paraId="6AC3995D">
                  <w:pPr>
                    <w:keepNext w:val="0"/>
                    <w:keepLines w:val="0"/>
                    <w:widowControl/>
                    <w:suppressLineNumbers w:val="0"/>
                    <w:jc w:val="center"/>
                    <w:textAlignment w:val="center"/>
                    <w:rPr>
                      <w:rFonts w:hint="default" w:ascii="Times New Roman" w:hAnsi="Times New Roman" w:eastAsia="宋体" w:cs="Times New Roman"/>
                      <w:caps w:val="0"/>
                      <w:smallCaps w:val="0"/>
                      <w:color w:val="auto"/>
                      <w:spacing w:val="0"/>
                      <w:sz w:val="21"/>
                      <w:szCs w:val="21"/>
                      <w:highlight w:val="none"/>
                      <w:lang w:val="en-US" w:eastAsia="zh-CN"/>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0</w:t>
                  </w:r>
                </w:p>
              </w:tc>
              <w:tc>
                <w:tcPr>
                  <w:tcW w:w="579" w:type="pct"/>
                  <w:tcBorders>
                    <w:tl2br w:val="nil"/>
                    <w:tr2bl w:val="nil"/>
                  </w:tcBorders>
                  <w:shd w:val="clear" w:color="auto" w:fill="auto"/>
                  <w:noWrap w:val="0"/>
                  <w:vAlign w:val="center"/>
                </w:tcPr>
                <w:p w14:paraId="6667CD7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sz w:val="21"/>
                      <w:szCs w:val="21"/>
                      <w:highlight w:val="none"/>
                      <w:lang w:val="en-US" w:eastAsia="zh-CN"/>
                    </w:rPr>
                    <w:t>6.64</w:t>
                  </w:r>
                </w:p>
              </w:tc>
              <w:tc>
                <w:tcPr>
                  <w:tcW w:w="592" w:type="pct"/>
                  <w:tcBorders>
                    <w:tl2br w:val="nil"/>
                    <w:tr2bl w:val="nil"/>
                  </w:tcBorders>
                  <w:shd w:val="clear" w:color="auto" w:fill="auto"/>
                  <w:noWrap w:val="0"/>
                  <w:vAlign w:val="center"/>
                </w:tcPr>
                <w:p w14:paraId="6BAD9CA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w:t>
                  </w:r>
                  <w:r>
                    <w:rPr>
                      <w:rFonts w:hint="eastAsia" w:ascii="Times New Roman" w:hAnsi="Times New Roman" w:eastAsia="宋体" w:cs="Times New Roman"/>
                      <w:color w:val="auto"/>
                      <w:kern w:val="0"/>
                      <w:sz w:val="21"/>
                      <w:szCs w:val="21"/>
                      <w:highlight w:val="none"/>
                      <w:lang w:val="en-US" w:eastAsia="zh-CN" w:bidi="ar-SA"/>
                    </w:rPr>
                    <w:t>4.7</w:t>
                  </w:r>
                  <w:r>
                    <w:rPr>
                      <w:rFonts w:hint="eastAsia" w:cs="Times New Roman"/>
                      <w:color w:val="auto"/>
                      <w:kern w:val="0"/>
                      <w:sz w:val="21"/>
                      <w:szCs w:val="21"/>
                      <w:highlight w:val="none"/>
                      <w:lang w:val="en-US" w:eastAsia="zh-CN" w:bidi="ar-SA"/>
                    </w:rPr>
                    <w:t>2</w:t>
                  </w:r>
                </w:p>
              </w:tc>
            </w:tr>
            <w:tr w14:paraId="082DC9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92" w:hRule="atLeast"/>
              </w:trPr>
              <w:tc>
                <w:tcPr>
                  <w:tcW w:w="416" w:type="pct"/>
                  <w:tcBorders>
                    <w:tl2br w:val="nil"/>
                    <w:tr2bl w:val="nil"/>
                  </w:tcBorders>
                  <w:shd w:val="clear" w:color="auto" w:fill="auto"/>
                  <w:noWrap w:val="0"/>
                  <w:vAlign w:val="center"/>
                </w:tcPr>
                <w:p w14:paraId="63F6EF3D">
                  <w:pPr>
                    <w:keepNext w:val="0"/>
                    <w:keepLines w:val="0"/>
                    <w:pageBreakBefore w:val="0"/>
                    <w:kinsoku/>
                    <w:wordWrap/>
                    <w:overflowPunct/>
                    <w:topLinePunct w:val="0"/>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COD</w:t>
                  </w:r>
                </w:p>
              </w:tc>
              <w:tc>
                <w:tcPr>
                  <w:tcW w:w="524" w:type="pct"/>
                  <w:tcBorders>
                    <w:tl2br w:val="nil"/>
                    <w:tr2bl w:val="nil"/>
                  </w:tcBorders>
                  <w:shd w:val="clear" w:color="auto" w:fill="auto"/>
                  <w:noWrap w:val="0"/>
                  <w:vAlign w:val="center"/>
                </w:tcPr>
                <w:p w14:paraId="4AADE8EA">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w:t>
                  </w:r>
                </w:p>
              </w:tc>
              <w:tc>
                <w:tcPr>
                  <w:tcW w:w="524" w:type="pct"/>
                  <w:tcBorders>
                    <w:tl2br w:val="nil"/>
                    <w:tr2bl w:val="nil"/>
                  </w:tcBorders>
                  <w:shd w:val="clear" w:color="auto" w:fill="auto"/>
                  <w:noWrap w:val="0"/>
                  <w:vAlign w:val="center"/>
                </w:tcPr>
                <w:p w14:paraId="54123411">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w:t>
                  </w:r>
                </w:p>
              </w:tc>
              <w:tc>
                <w:tcPr>
                  <w:tcW w:w="524" w:type="pct"/>
                  <w:tcBorders>
                    <w:tl2br w:val="nil"/>
                    <w:tr2bl w:val="nil"/>
                  </w:tcBorders>
                  <w:shd w:val="clear" w:color="auto" w:fill="auto"/>
                  <w:noWrap w:val="0"/>
                  <w:vAlign w:val="center"/>
                </w:tcPr>
                <w:p w14:paraId="0FE5D4B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0.1</w:t>
                  </w:r>
                  <w:r>
                    <w:rPr>
                      <w:rFonts w:hint="eastAsia" w:cs="Times New Roman"/>
                      <w:color w:val="auto"/>
                      <w:kern w:val="2"/>
                      <w:sz w:val="21"/>
                      <w:szCs w:val="21"/>
                      <w:highlight w:val="none"/>
                      <w:lang w:val="en-US" w:eastAsia="zh-CN" w:bidi="ar-SA"/>
                    </w:rPr>
                    <w:t>1</w:t>
                  </w:r>
                </w:p>
              </w:tc>
              <w:tc>
                <w:tcPr>
                  <w:tcW w:w="524" w:type="pct"/>
                  <w:tcBorders>
                    <w:tl2br w:val="nil"/>
                    <w:tr2bl w:val="nil"/>
                  </w:tcBorders>
                  <w:shd w:val="clear" w:color="auto" w:fill="auto"/>
                  <w:noWrap w:val="0"/>
                  <w:vAlign w:val="center"/>
                </w:tcPr>
                <w:p w14:paraId="0D98371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0.</w:t>
                  </w:r>
                  <w:r>
                    <w:rPr>
                      <w:rFonts w:hint="eastAsia" w:ascii="Times New Roman" w:hAnsi="Times New Roman" w:eastAsia="宋体" w:cs="Times New Roman"/>
                      <w:b w:val="0"/>
                      <w:bCs/>
                      <w:color w:val="auto"/>
                      <w:sz w:val="21"/>
                      <w:szCs w:val="21"/>
                      <w:highlight w:val="none"/>
                      <w:lang w:val="en-US" w:eastAsia="zh-CN"/>
                    </w:rPr>
                    <w:t>62</w:t>
                  </w:r>
                </w:p>
              </w:tc>
              <w:tc>
                <w:tcPr>
                  <w:tcW w:w="652" w:type="pct"/>
                  <w:tcBorders>
                    <w:tl2br w:val="nil"/>
                    <w:tr2bl w:val="nil"/>
                  </w:tcBorders>
                  <w:shd w:val="clear" w:color="auto" w:fill="auto"/>
                  <w:noWrap w:val="0"/>
                  <w:vAlign w:val="center"/>
                </w:tcPr>
                <w:p w14:paraId="70EB519A">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w:t>
                  </w:r>
                </w:p>
              </w:tc>
              <w:tc>
                <w:tcPr>
                  <w:tcW w:w="661" w:type="pct"/>
                  <w:tcBorders>
                    <w:tl2br w:val="nil"/>
                    <w:tr2bl w:val="nil"/>
                  </w:tcBorders>
                  <w:noWrap w:val="0"/>
                  <w:vAlign w:val="center"/>
                </w:tcPr>
                <w:p w14:paraId="2FB3EB85">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0</w:t>
                  </w:r>
                </w:p>
              </w:tc>
              <w:tc>
                <w:tcPr>
                  <w:tcW w:w="579" w:type="pct"/>
                  <w:tcBorders>
                    <w:tl2br w:val="nil"/>
                    <w:tr2bl w:val="nil"/>
                  </w:tcBorders>
                  <w:shd w:val="clear" w:color="auto" w:fill="auto"/>
                  <w:noWrap w:val="0"/>
                  <w:vAlign w:val="center"/>
                </w:tcPr>
                <w:p w14:paraId="5B670C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b w:val="0"/>
                      <w:bCs/>
                      <w:color w:val="auto"/>
                      <w:sz w:val="21"/>
                      <w:szCs w:val="21"/>
                      <w:highlight w:val="none"/>
                      <w:lang w:val="en-US" w:eastAsia="zh-CN"/>
                    </w:rPr>
                    <w:t>0.</w:t>
                  </w:r>
                  <w:r>
                    <w:rPr>
                      <w:rFonts w:hint="eastAsia" w:ascii="Times New Roman" w:hAnsi="Times New Roman" w:eastAsia="宋体" w:cs="Times New Roman"/>
                      <w:b w:val="0"/>
                      <w:bCs/>
                      <w:color w:val="auto"/>
                      <w:sz w:val="21"/>
                      <w:szCs w:val="21"/>
                      <w:highlight w:val="none"/>
                      <w:lang w:val="en-US" w:eastAsia="zh-CN"/>
                    </w:rPr>
                    <w:t>62</w:t>
                  </w:r>
                </w:p>
              </w:tc>
              <w:tc>
                <w:tcPr>
                  <w:tcW w:w="592" w:type="pct"/>
                  <w:tcBorders>
                    <w:tl2br w:val="nil"/>
                    <w:tr2bl w:val="nil"/>
                  </w:tcBorders>
                  <w:shd w:val="clear" w:color="auto" w:fill="auto"/>
                  <w:noWrap w:val="0"/>
                  <w:vAlign w:val="center"/>
                </w:tcPr>
                <w:p w14:paraId="2B9E9C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0.62</w:t>
                  </w:r>
                </w:p>
              </w:tc>
            </w:tr>
            <w:tr w14:paraId="3D6FD90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17" w:hRule="atLeast"/>
              </w:trPr>
              <w:tc>
                <w:tcPr>
                  <w:tcW w:w="416" w:type="pct"/>
                  <w:shd w:val="clear" w:color="auto" w:fill="auto"/>
                  <w:vAlign w:val="center"/>
                </w:tcPr>
                <w:p w14:paraId="29437231">
                  <w:pPr>
                    <w:keepNext w:val="0"/>
                    <w:keepLines w:val="0"/>
                    <w:pageBreakBefore w:val="0"/>
                    <w:kinsoku/>
                    <w:wordWrap/>
                    <w:overflowPunct/>
                    <w:topLinePunct w:val="0"/>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氨氮</w:t>
                  </w:r>
                </w:p>
              </w:tc>
              <w:tc>
                <w:tcPr>
                  <w:tcW w:w="524" w:type="pct"/>
                  <w:shd w:val="clear" w:color="auto" w:fill="auto"/>
                  <w:vAlign w:val="center"/>
                </w:tcPr>
                <w:p w14:paraId="77CEF1EB">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w:t>
                  </w:r>
                </w:p>
              </w:tc>
              <w:tc>
                <w:tcPr>
                  <w:tcW w:w="524" w:type="pct"/>
                  <w:shd w:val="clear" w:color="auto" w:fill="auto"/>
                  <w:vAlign w:val="center"/>
                </w:tcPr>
                <w:p w14:paraId="4A7AA800">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4"/>
                      <w:highlight w:val="none"/>
                      <w:lang w:val="en-US" w:eastAsia="zh-CN" w:bidi="ar-SA"/>
                    </w:rPr>
                  </w:pPr>
                  <w:r>
                    <w:rPr>
                      <w:rFonts w:hint="eastAsia" w:ascii="Times New Roman" w:hAnsi="Times New Roman" w:eastAsia="宋体" w:cs="Times New Roman"/>
                      <w:b w:val="0"/>
                      <w:bCs/>
                      <w:color w:val="auto"/>
                      <w:sz w:val="21"/>
                      <w:szCs w:val="24"/>
                      <w:highlight w:val="none"/>
                      <w:lang w:val="en-US" w:eastAsia="zh-CN"/>
                    </w:rPr>
                    <w:t>/</w:t>
                  </w:r>
                </w:p>
              </w:tc>
              <w:tc>
                <w:tcPr>
                  <w:tcW w:w="524" w:type="pct"/>
                  <w:shd w:val="clear" w:color="auto" w:fill="auto"/>
                  <w:vAlign w:val="center"/>
                </w:tcPr>
                <w:p w14:paraId="650D376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sz w:val="21"/>
                      <w:szCs w:val="24"/>
                      <w:highlight w:val="none"/>
                      <w:lang w:val="en-US" w:eastAsia="zh-CN"/>
                    </w:rPr>
                    <w:t>/</w:t>
                  </w:r>
                </w:p>
              </w:tc>
              <w:tc>
                <w:tcPr>
                  <w:tcW w:w="524" w:type="pct"/>
                  <w:shd w:val="clear" w:color="auto" w:fill="auto"/>
                  <w:vAlign w:val="center"/>
                </w:tcPr>
                <w:p w14:paraId="031C09C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4"/>
                      <w:highlight w:val="none"/>
                      <w:lang w:val="en-US" w:eastAsia="zh-CN" w:bidi="ar-SA"/>
                    </w:rPr>
                  </w:pPr>
                  <w:r>
                    <w:rPr>
                      <w:rFonts w:hint="eastAsia" w:ascii="Times New Roman" w:hAnsi="Times New Roman" w:eastAsia="宋体" w:cs="Times New Roman"/>
                      <w:b w:val="0"/>
                      <w:bCs/>
                      <w:color w:val="auto"/>
                      <w:sz w:val="21"/>
                      <w:szCs w:val="24"/>
                      <w:highlight w:val="none"/>
                      <w:lang w:val="en-US" w:eastAsia="zh-CN"/>
                    </w:rPr>
                    <w:t>/</w:t>
                  </w:r>
                </w:p>
              </w:tc>
              <w:tc>
                <w:tcPr>
                  <w:tcW w:w="652" w:type="pct"/>
                  <w:shd w:val="clear" w:color="auto" w:fill="auto"/>
                  <w:vAlign w:val="center"/>
                </w:tcPr>
                <w:p w14:paraId="2362FB6B">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4"/>
                      <w:highlight w:val="none"/>
                      <w:lang w:val="en-US" w:eastAsia="zh-CN" w:bidi="ar-SA"/>
                    </w:rPr>
                  </w:pPr>
                  <w:r>
                    <w:rPr>
                      <w:rFonts w:hint="eastAsia" w:ascii="Times New Roman" w:hAnsi="Times New Roman" w:eastAsia="宋体" w:cs="Times New Roman"/>
                      <w:b w:val="0"/>
                      <w:bCs/>
                      <w:color w:val="auto"/>
                      <w:sz w:val="21"/>
                      <w:szCs w:val="24"/>
                      <w:highlight w:val="none"/>
                      <w:lang w:val="en-US" w:eastAsia="zh-CN"/>
                    </w:rPr>
                    <w:t>/</w:t>
                  </w:r>
                </w:p>
              </w:tc>
              <w:tc>
                <w:tcPr>
                  <w:tcW w:w="661" w:type="pct"/>
                  <w:vAlign w:val="center"/>
                </w:tcPr>
                <w:p w14:paraId="4DDD58BC">
                  <w:pPr>
                    <w:keepNext w:val="0"/>
                    <w:keepLines w:val="0"/>
                    <w:widowControl/>
                    <w:suppressLineNumbers w:val="0"/>
                    <w:jc w:val="center"/>
                    <w:textAlignment w:val="cente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pPr>
                  <w:r>
                    <w:rPr>
                      <w:rFonts w:hint="default" w:ascii="Times New Roman" w:hAnsi="Times New Roman" w:eastAsia="宋体" w:cs="Times New Roman"/>
                      <w:i w:val="0"/>
                      <w:iCs w:val="0"/>
                      <w:caps w:val="0"/>
                      <w:smallCaps w:val="0"/>
                      <w:color w:val="auto"/>
                      <w:spacing w:val="0"/>
                      <w:kern w:val="0"/>
                      <w:sz w:val="21"/>
                      <w:szCs w:val="21"/>
                      <w:highlight w:val="none"/>
                      <w:u w:val="none"/>
                      <w:lang w:val="en-US" w:eastAsia="zh-CN" w:bidi="ar"/>
                    </w:rPr>
                    <w:t>0</w:t>
                  </w:r>
                </w:p>
              </w:tc>
              <w:tc>
                <w:tcPr>
                  <w:tcW w:w="579" w:type="pct"/>
                  <w:shd w:val="clear" w:color="auto" w:fill="auto"/>
                  <w:vAlign w:val="center"/>
                </w:tcPr>
                <w:p w14:paraId="7F77701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b w:val="0"/>
                      <w:bCs/>
                      <w:color w:val="auto"/>
                      <w:kern w:val="0"/>
                      <w:sz w:val="21"/>
                      <w:szCs w:val="21"/>
                      <w:highlight w:val="none"/>
                      <w:lang w:val="en-US" w:eastAsia="zh-CN" w:bidi="ar-SA"/>
                    </w:rPr>
                  </w:pPr>
                  <w:r>
                    <w:rPr>
                      <w:rFonts w:hint="eastAsia" w:ascii="Times New Roman" w:hAnsi="Times New Roman" w:eastAsia="宋体" w:cs="Times New Roman"/>
                      <w:b w:val="0"/>
                      <w:bCs/>
                      <w:color w:val="auto"/>
                      <w:sz w:val="21"/>
                      <w:szCs w:val="21"/>
                      <w:highlight w:val="none"/>
                      <w:lang w:val="en-US" w:eastAsia="zh-CN"/>
                    </w:rPr>
                    <w:t>/</w:t>
                  </w:r>
                </w:p>
              </w:tc>
              <w:tc>
                <w:tcPr>
                  <w:tcW w:w="592" w:type="pct"/>
                  <w:vAlign w:val="center"/>
                </w:tcPr>
                <w:p w14:paraId="3CEE453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r>
          </w:tbl>
          <w:p w14:paraId="170F6F88">
            <w:pPr>
              <w:rPr>
                <w:rFonts w:hint="default" w:ascii="Times New Roman" w:hAnsi="Times New Roman" w:eastAsia="宋体" w:cs="Times New Roman"/>
                <w:color w:val="auto"/>
                <w:sz w:val="21"/>
                <w:highlight w:val="none"/>
              </w:rPr>
            </w:pPr>
          </w:p>
          <w:p w14:paraId="381CDDC1">
            <w:pPr>
              <w:rPr>
                <w:rFonts w:hint="default" w:ascii="Times New Roman" w:hAnsi="Times New Roman" w:eastAsia="宋体" w:cs="Times New Roman"/>
                <w:color w:val="auto"/>
                <w:sz w:val="21"/>
                <w:highlight w:val="none"/>
              </w:rPr>
            </w:pPr>
          </w:p>
          <w:p w14:paraId="6BFFD634">
            <w:pPr>
              <w:rPr>
                <w:rFonts w:hint="default" w:ascii="Times New Roman" w:hAnsi="Times New Roman" w:eastAsia="宋体" w:cs="Times New Roman"/>
                <w:color w:val="auto"/>
                <w:sz w:val="21"/>
                <w:highlight w:val="none"/>
              </w:rPr>
            </w:pPr>
          </w:p>
          <w:p w14:paraId="124CB0A6">
            <w:pPr>
              <w:rPr>
                <w:rFonts w:hint="default" w:ascii="Times New Roman" w:hAnsi="Times New Roman" w:eastAsia="宋体" w:cs="Times New Roman"/>
                <w:color w:val="auto"/>
                <w:sz w:val="21"/>
                <w:highlight w:val="none"/>
              </w:rPr>
            </w:pPr>
          </w:p>
          <w:p w14:paraId="0BD4B5F0">
            <w:pPr>
              <w:pStyle w:val="40"/>
              <w:ind w:left="0" w:leftChars="0" w:firstLine="0" w:firstLineChars="0"/>
              <w:rPr>
                <w:rFonts w:hint="default"/>
                <w:color w:val="auto"/>
              </w:rPr>
            </w:pPr>
          </w:p>
          <w:p w14:paraId="5CC32026">
            <w:pPr>
              <w:rPr>
                <w:rFonts w:hint="default"/>
                <w:color w:val="auto"/>
              </w:rPr>
            </w:pPr>
          </w:p>
          <w:p w14:paraId="1C813A17">
            <w:pPr>
              <w:rPr>
                <w:rFonts w:hint="default"/>
                <w:color w:val="auto"/>
              </w:rPr>
            </w:pPr>
          </w:p>
          <w:p w14:paraId="49E8C0DB">
            <w:pPr>
              <w:rPr>
                <w:rFonts w:hint="default"/>
                <w:color w:val="auto"/>
              </w:rPr>
            </w:pPr>
          </w:p>
          <w:p w14:paraId="69BFC444">
            <w:pPr>
              <w:rPr>
                <w:rFonts w:hint="default"/>
                <w:color w:val="auto"/>
              </w:rPr>
            </w:pPr>
          </w:p>
          <w:p w14:paraId="0579E519">
            <w:pPr>
              <w:rPr>
                <w:rFonts w:hint="default"/>
                <w:color w:val="auto"/>
              </w:rPr>
            </w:pPr>
          </w:p>
          <w:p w14:paraId="46AEB454">
            <w:pPr>
              <w:rPr>
                <w:rFonts w:hint="default"/>
                <w:color w:val="auto"/>
              </w:rPr>
            </w:pPr>
          </w:p>
          <w:p w14:paraId="355ADD69">
            <w:pPr>
              <w:rPr>
                <w:rFonts w:hint="default"/>
                <w:color w:val="auto"/>
              </w:rPr>
            </w:pPr>
          </w:p>
          <w:p w14:paraId="50B19810">
            <w:pPr>
              <w:rPr>
                <w:rFonts w:hint="default"/>
                <w:color w:val="auto"/>
              </w:rPr>
            </w:pPr>
          </w:p>
          <w:p w14:paraId="569660C8">
            <w:pPr>
              <w:rPr>
                <w:rFonts w:hint="default"/>
                <w:color w:val="auto"/>
              </w:rPr>
            </w:pPr>
          </w:p>
          <w:p w14:paraId="25FACEEE">
            <w:pPr>
              <w:rPr>
                <w:rFonts w:hint="default"/>
                <w:color w:val="auto"/>
              </w:rPr>
            </w:pPr>
          </w:p>
          <w:p w14:paraId="23E4ADDC">
            <w:pPr>
              <w:rPr>
                <w:rFonts w:hint="default"/>
                <w:color w:val="auto"/>
              </w:rPr>
            </w:pPr>
          </w:p>
          <w:p w14:paraId="752C3B49">
            <w:pPr>
              <w:rPr>
                <w:rFonts w:hint="default"/>
                <w:color w:val="auto"/>
              </w:rPr>
            </w:pPr>
          </w:p>
          <w:p w14:paraId="03F7BC97">
            <w:pPr>
              <w:rPr>
                <w:rFonts w:hint="default"/>
                <w:color w:val="auto"/>
              </w:rPr>
            </w:pPr>
          </w:p>
        </w:tc>
      </w:tr>
    </w:tbl>
    <w:p w14:paraId="5FA8C33E">
      <w:pPr>
        <w:pStyle w:val="36"/>
        <w:jc w:val="center"/>
        <w:outlineLvl w:val="0"/>
        <w:rPr>
          <w:rFonts w:hint="default" w:ascii="Times New Roman" w:hAnsi="Times New Roman" w:cs="Times New Roman"/>
          <w:snapToGrid w:val="0"/>
          <w:color w:val="auto"/>
          <w:sz w:val="30"/>
          <w:szCs w:val="30"/>
          <w:highlight w:val="none"/>
        </w:rPr>
      </w:pPr>
      <w:r>
        <w:rPr>
          <w:rFonts w:hint="default" w:ascii="Times New Roman" w:hAnsi="Times New Roman" w:cs="Times New Roman"/>
          <w:snapToGrid w:val="0"/>
          <w:color w:val="auto"/>
          <w:sz w:val="36"/>
          <w:szCs w:val="36"/>
          <w:highlight w:val="none"/>
        </w:rPr>
        <w:br w:type="page"/>
      </w:r>
      <w:bookmarkStart w:id="44" w:name="_Toc19240"/>
      <w:bookmarkStart w:id="45" w:name="_Toc18622"/>
      <w:bookmarkStart w:id="46" w:name="_Toc82778253"/>
      <w:bookmarkStart w:id="47" w:name="_Toc28023"/>
      <w:r>
        <w:rPr>
          <w:rFonts w:hint="eastAsia" w:ascii="黑体" w:hAnsi="黑体" w:eastAsia="黑体" w:cs="黑体"/>
          <w:snapToGrid w:val="0"/>
          <w:color w:val="auto"/>
          <w:sz w:val="30"/>
          <w:szCs w:val="30"/>
          <w:highlight w:val="none"/>
        </w:rPr>
        <w:t>四、主要环境影响和保护措施</w:t>
      </w:r>
      <w:bookmarkEnd w:id="44"/>
      <w:bookmarkEnd w:id="45"/>
      <w:bookmarkEnd w:id="46"/>
      <w:bookmarkEnd w:id="47"/>
    </w:p>
    <w:tbl>
      <w:tblPr>
        <w:tblStyle w:val="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8635"/>
      </w:tblGrid>
      <w:tr w14:paraId="2CB1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 w:type="dxa"/>
            <w:noWrap w:val="0"/>
            <w:vAlign w:val="center"/>
          </w:tcPr>
          <w:p w14:paraId="2EADC405">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施工</w:t>
            </w:r>
          </w:p>
          <w:p w14:paraId="287F901E">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期环</w:t>
            </w:r>
          </w:p>
          <w:p w14:paraId="2FBD13B6">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境保</w:t>
            </w:r>
          </w:p>
          <w:p w14:paraId="4173F2BD">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护措</w:t>
            </w:r>
          </w:p>
          <w:p w14:paraId="51CBFCD4">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施</w:t>
            </w:r>
          </w:p>
        </w:tc>
        <w:tc>
          <w:tcPr>
            <w:tcW w:w="8635" w:type="dxa"/>
            <w:noWrap w:val="0"/>
            <w:vAlign w:val="center"/>
          </w:tcPr>
          <w:p w14:paraId="1BC5AB5D">
            <w:pPr>
              <w:keepNext w:val="0"/>
              <w:keepLines w:val="0"/>
              <w:pageBreakBefore w:val="0"/>
              <w:widowControl w:val="0"/>
              <w:kinsoku/>
              <w:wordWrap/>
              <w:overflowPunct/>
              <w:topLinePunct w:val="0"/>
              <w:autoSpaceDE/>
              <w:autoSpaceDN/>
              <w:bidi w:val="0"/>
              <w:adjustRightInd/>
              <w:snapToGrid/>
              <w:spacing w:line="360" w:lineRule="auto"/>
              <w:ind w:firstLine="420" w:firstLineChars="200"/>
              <w:contextualSpacing/>
              <w:textAlignment w:val="auto"/>
              <w:rPr>
                <w:rFonts w:hint="eastAsia"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本项目利用厂区内现有车间建设，</w:t>
            </w:r>
            <w:r>
              <w:rPr>
                <w:rFonts w:hint="eastAsia"/>
                <w:bCs/>
                <w:color w:val="000000" w:themeColor="text1"/>
                <w:sz w:val="21"/>
                <w:szCs w:val="21"/>
                <w:highlight w:val="none"/>
                <w14:textFill>
                  <w14:solidFill>
                    <w14:schemeClr w14:val="tx1"/>
                  </w14:solidFill>
                </w14:textFill>
              </w:rPr>
              <w:t>无大型土建施工，本次主要施工内容为</w:t>
            </w:r>
            <w:r>
              <w:rPr>
                <w:rFonts w:hint="eastAsia"/>
                <w:bCs/>
                <w:color w:val="000000" w:themeColor="text1"/>
                <w:sz w:val="21"/>
                <w:szCs w:val="21"/>
                <w:highlight w:val="none"/>
                <w:lang w:val="en-US" w:eastAsia="zh-CN"/>
                <w14:textFill>
                  <w14:solidFill>
                    <w14:schemeClr w14:val="tx1"/>
                  </w14:solidFill>
                </w14:textFill>
              </w:rPr>
              <w:t>锅炉及相关设施的改造，</w:t>
            </w:r>
            <w:r>
              <w:rPr>
                <w:rFonts w:hint="eastAsia" w:ascii="Times New Roman" w:hAnsi="Times New Roman" w:eastAsia="宋体" w:cs="Times New Roman"/>
                <w:color w:val="auto"/>
                <w:kern w:val="0"/>
                <w:sz w:val="21"/>
                <w:szCs w:val="21"/>
                <w:highlight w:val="none"/>
              </w:rPr>
              <w:t>新设备安装，主要会产生噪声、固废、废水。</w:t>
            </w:r>
          </w:p>
          <w:p w14:paraId="372B42E0">
            <w:pPr>
              <w:keepNext w:val="0"/>
              <w:keepLines w:val="0"/>
              <w:pageBreakBefore w:val="0"/>
              <w:widowControl w:val="0"/>
              <w:kinsoku/>
              <w:wordWrap/>
              <w:overflowPunct/>
              <w:topLinePunct w:val="0"/>
              <w:autoSpaceDE/>
              <w:autoSpaceDN/>
              <w:bidi w:val="0"/>
              <w:adjustRightInd/>
              <w:snapToGrid/>
              <w:spacing w:line="360" w:lineRule="auto"/>
              <w:ind w:firstLine="422" w:firstLineChars="200"/>
              <w:contextualSpacing/>
              <w:textAlignment w:val="auto"/>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一、噪声</w:t>
            </w:r>
          </w:p>
          <w:p w14:paraId="3EEC0E67">
            <w:pPr>
              <w:keepNext w:val="0"/>
              <w:keepLines w:val="0"/>
              <w:pageBreakBefore w:val="0"/>
              <w:widowControl w:val="0"/>
              <w:kinsoku/>
              <w:wordWrap/>
              <w:overflowPunct/>
              <w:topLinePunct w:val="0"/>
              <w:autoSpaceDE/>
              <w:autoSpaceDN/>
              <w:bidi w:val="0"/>
              <w:adjustRightInd/>
              <w:snapToGrid/>
              <w:spacing w:line="360" w:lineRule="auto"/>
              <w:ind w:firstLine="420" w:firstLineChars="200"/>
              <w:contextualSpacing/>
              <w:textAlignment w:val="auto"/>
              <w:rPr>
                <w:rFonts w:hint="eastAsia"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本项目无大型施工设备，噪声对其周围的环境会产生少量影响。施工均在楼内进行，采取密闭隔音、夜间不施工等措施，可以有效减少噪声影响。可满足《建筑施工场界环境噪声排放标准》（GB12523-2011）</w:t>
            </w:r>
            <w:r>
              <w:rPr>
                <w:rFonts w:hint="eastAsia" w:cs="Times New Roman"/>
                <w:color w:val="auto"/>
                <w:kern w:val="0"/>
                <w:sz w:val="21"/>
                <w:szCs w:val="21"/>
                <w:highlight w:val="none"/>
                <w:lang w:val="en-US" w:eastAsia="zh-CN"/>
              </w:rPr>
              <w:t>表1</w:t>
            </w:r>
            <w:r>
              <w:rPr>
                <w:rFonts w:hint="eastAsia" w:ascii="Times New Roman" w:hAnsi="Times New Roman" w:eastAsia="宋体" w:cs="Times New Roman"/>
                <w:color w:val="auto"/>
                <w:kern w:val="0"/>
                <w:sz w:val="21"/>
                <w:szCs w:val="21"/>
                <w:highlight w:val="none"/>
              </w:rPr>
              <w:t>的限值要求。</w:t>
            </w:r>
          </w:p>
          <w:p w14:paraId="06383981">
            <w:pPr>
              <w:keepNext w:val="0"/>
              <w:keepLines w:val="0"/>
              <w:pageBreakBefore w:val="0"/>
              <w:widowControl w:val="0"/>
              <w:kinsoku/>
              <w:wordWrap/>
              <w:overflowPunct/>
              <w:topLinePunct w:val="0"/>
              <w:autoSpaceDE/>
              <w:autoSpaceDN/>
              <w:bidi w:val="0"/>
              <w:adjustRightInd/>
              <w:snapToGrid/>
              <w:spacing w:line="360" w:lineRule="auto"/>
              <w:ind w:firstLine="422" w:firstLineChars="200"/>
              <w:contextualSpacing/>
              <w:textAlignment w:val="auto"/>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二、固体废物</w:t>
            </w:r>
          </w:p>
          <w:p w14:paraId="4AD35D3E">
            <w:pPr>
              <w:keepNext w:val="0"/>
              <w:keepLines w:val="0"/>
              <w:pageBreakBefore w:val="0"/>
              <w:widowControl w:val="0"/>
              <w:kinsoku/>
              <w:wordWrap/>
              <w:overflowPunct/>
              <w:topLinePunct w:val="0"/>
              <w:autoSpaceDE/>
              <w:autoSpaceDN/>
              <w:bidi w:val="0"/>
              <w:adjustRightInd/>
              <w:snapToGrid/>
              <w:spacing w:line="360" w:lineRule="auto"/>
              <w:ind w:firstLine="420" w:firstLineChars="200"/>
              <w:contextualSpacing/>
              <w:textAlignment w:val="auto"/>
              <w:rPr>
                <w:rFonts w:hint="eastAsia"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施工期的固体废物主要为废弃包装及施工人员生活垃圾。</w:t>
            </w:r>
          </w:p>
          <w:p w14:paraId="7AF401CF">
            <w:pPr>
              <w:keepNext w:val="0"/>
              <w:keepLines w:val="0"/>
              <w:pageBreakBefore w:val="0"/>
              <w:widowControl w:val="0"/>
              <w:kinsoku/>
              <w:wordWrap/>
              <w:overflowPunct/>
              <w:topLinePunct w:val="0"/>
              <w:autoSpaceDE/>
              <w:autoSpaceDN/>
              <w:bidi w:val="0"/>
              <w:adjustRightInd/>
              <w:snapToGrid/>
              <w:spacing w:line="360" w:lineRule="auto"/>
              <w:ind w:firstLine="420" w:firstLineChars="200"/>
              <w:contextualSpacing/>
              <w:textAlignment w:val="auto"/>
              <w:rPr>
                <w:rFonts w:hint="eastAsia"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rPr>
              <w:t>废弃包装外售物资单位</w:t>
            </w:r>
            <w:r>
              <w:rPr>
                <w:rFonts w:hint="eastAsia" w:ascii="Times New Roman" w:hAnsi="Times New Roman" w:cs="Times New Roman"/>
                <w:color w:val="auto"/>
                <w:kern w:val="0"/>
                <w:sz w:val="21"/>
                <w:szCs w:val="21"/>
                <w:highlight w:val="none"/>
                <w:lang w:eastAsia="zh-CN"/>
              </w:rPr>
              <w:t>；</w:t>
            </w:r>
            <w:r>
              <w:rPr>
                <w:rFonts w:hint="eastAsia" w:ascii="Times New Roman" w:hAnsi="Times New Roman" w:eastAsia="宋体" w:cs="Times New Roman"/>
                <w:color w:val="auto"/>
                <w:kern w:val="0"/>
                <w:sz w:val="21"/>
                <w:szCs w:val="21"/>
                <w:highlight w:val="none"/>
              </w:rPr>
              <w:t>施工人员生活垃圾交由市政环卫部门统一处理，因处置措施得当，故对周围环境基本无影响。</w:t>
            </w:r>
          </w:p>
          <w:p w14:paraId="280743BA">
            <w:pPr>
              <w:keepNext w:val="0"/>
              <w:keepLines w:val="0"/>
              <w:pageBreakBefore w:val="0"/>
              <w:widowControl w:val="0"/>
              <w:kinsoku/>
              <w:wordWrap/>
              <w:overflowPunct/>
              <w:topLinePunct w:val="0"/>
              <w:autoSpaceDE/>
              <w:autoSpaceDN/>
              <w:bidi w:val="0"/>
              <w:adjustRightInd/>
              <w:snapToGrid/>
              <w:spacing w:line="360" w:lineRule="auto"/>
              <w:ind w:firstLine="422" w:firstLineChars="200"/>
              <w:contextualSpacing/>
              <w:textAlignment w:val="auto"/>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三、废水</w:t>
            </w:r>
          </w:p>
          <w:p w14:paraId="383D2B3C">
            <w:pPr>
              <w:pStyle w:val="13"/>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hAnsi="Times New Roman"/>
                <w:color w:val="auto"/>
                <w:sz w:val="21"/>
              </w:rPr>
            </w:pPr>
            <w:r>
              <w:rPr>
                <w:rFonts w:hint="eastAsia" w:ascii="Times New Roman" w:hAnsi="Times New Roman" w:eastAsia="宋体" w:cs="Times New Roman"/>
                <w:color w:val="auto"/>
                <w:kern w:val="0"/>
                <w:sz w:val="21"/>
                <w:szCs w:val="21"/>
                <w:highlight w:val="none"/>
              </w:rPr>
              <w:t>施工期的废水主要为施工人员生活污水，</w:t>
            </w:r>
            <w:r>
              <w:rPr>
                <w:rFonts w:hint="eastAsia" w:ascii="Times New Roman" w:hAnsi="Times New Roman" w:cs="Times New Roman"/>
                <w:color w:val="auto"/>
                <w:kern w:val="0"/>
                <w:sz w:val="21"/>
                <w:szCs w:val="21"/>
                <w:highlight w:val="none"/>
                <w:lang w:val="en-US" w:eastAsia="zh-CN"/>
              </w:rPr>
              <w:t>排入防渗旱厕，定期掏运，外运堆肥</w:t>
            </w:r>
            <w:r>
              <w:rPr>
                <w:rFonts w:hint="eastAsia" w:ascii="Times New Roman" w:hAnsi="Times New Roman" w:eastAsia="宋体" w:cs="Times New Roman"/>
                <w:color w:val="auto"/>
                <w:kern w:val="0"/>
                <w:sz w:val="21"/>
                <w:szCs w:val="21"/>
                <w:highlight w:val="none"/>
              </w:rPr>
              <w:t>，对周围环境基本无影响。</w:t>
            </w:r>
          </w:p>
          <w:p w14:paraId="56D456A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eastAsia="宋体" w:cs="Times New Roman"/>
                <w:color w:val="auto"/>
                <w:sz w:val="21"/>
                <w:highlight w:val="none"/>
              </w:rPr>
            </w:pPr>
          </w:p>
          <w:p w14:paraId="75A71896">
            <w:pPr>
              <w:pStyle w:val="39"/>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auto"/>
                <w:sz w:val="21"/>
                <w:highlight w:val="none"/>
              </w:rPr>
            </w:pPr>
          </w:p>
          <w:p w14:paraId="70F84454">
            <w:pPr>
              <w:pStyle w:val="40"/>
              <w:jc w:val="left"/>
              <w:rPr>
                <w:rFonts w:hint="default" w:ascii="Times New Roman" w:hAnsi="Times New Roman" w:eastAsia="宋体" w:cs="Times New Roman"/>
                <w:color w:val="auto"/>
                <w:sz w:val="21"/>
                <w:highlight w:val="none"/>
              </w:rPr>
            </w:pPr>
          </w:p>
          <w:p w14:paraId="4047CC1A">
            <w:pPr>
              <w:pStyle w:val="39"/>
              <w:ind w:left="0" w:leftChars="0" w:firstLine="0" w:firstLineChars="0"/>
              <w:jc w:val="left"/>
              <w:rPr>
                <w:rFonts w:hint="default" w:ascii="Times New Roman" w:hAnsi="Times New Roman" w:eastAsia="宋体" w:cs="Times New Roman"/>
                <w:color w:val="auto"/>
                <w:sz w:val="21"/>
                <w:highlight w:val="none"/>
              </w:rPr>
            </w:pPr>
          </w:p>
          <w:p w14:paraId="43C640F7">
            <w:pPr>
              <w:pStyle w:val="40"/>
              <w:jc w:val="left"/>
              <w:rPr>
                <w:rFonts w:hint="default"/>
                <w:color w:val="auto"/>
              </w:rPr>
            </w:pPr>
          </w:p>
          <w:p w14:paraId="75F42013">
            <w:pPr>
              <w:pStyle w:val="40"/>
              <w:jc w:val="left"/>
              <w:rPr>
                <w:rFonts w:hint="default" w:ascii="Times New Roman" w:hAnsi="Times New Roman" w:eastAsia="宋体" w:cs="Times New Roman"/>
                <w:color w:val="auto"/>
                <w:sz w:val="21"/>
                <w:highlight w:val="none"/>
              </w:rPr>
            </w:pPr>
          </w:p>
          <w:p w14:paraId="0BC7F94C">
            <w:pPr>
              <w:pStyle w:val="28"/>
              <w:jc w:val="left"/>
              <w:rPr>
                <w:rFonts w:hint="default" w:ascii="Times New Roman" w:hAnsi="Times New Roman" w:eastAsia="宋体" w:cs="Times New Roman"/>
                <w:color w:val="auto"/>
                <w:sz w:val="21"/>
                <w:highlight w:val="none"/>
              </w:rPr>
            </w:pPr>
          </w:p>
          <w:p w14:paraId="1BE1C3B7">
            <w:pPr>
              <w:pStyle w:val="40"/>
              <w:ind w:left="0" w:leftChars="0" w:firstLine="0" w:firstLineChars="0"/>
              <w:jc w:val="left"/>
              <w:rPr>
                <w:rFonts w:hint="default" w:ascii="Times New Roman" w:hAnsi="Times New Roman" w:eastAsia="宋体" w:cs="Times New Roman"/>
                <w:color w:val="auto"/>
                <w:sz w:val="21"/>
                <w:highlight w:val="none"/>
              </w:rPr>
            </w:pPr>
          </w:p>
          <w:p w14:paraId="19E593DB">
            <w:pPr>
              <w:pStyle w:val="28"/>
              <w:jc w:val="left"/>
              <w:rPr>
                <w:rFonts w:hint="default"/>
                <w:color w:val="auto"/>
              </w:rPr>
            </w:pPr>
          </w:p>
          <w:p w14:paraId="36F0405E">
            <w:pPr>
              <w:pStyle w:val="39"/>
              <w:jc w:val="left"/>
              <w:rPr>
                <w:rFonts w:hint="default" w:ascii="Times New Roman" w:hAnsi="Times New Roman" w:eastAsia="宋体" w:cs="Times New Roman"/>
                <w:color w:val="auto"/>
                <w:sz w:val="21"/>
                <w:highlight w:val="none"/>
              </w:rPr>
            </w:pPr>
          </w:p>
          <w:p w14:paraId="69A0AFEE">
            <w:pPr>
              <w:pStyle w:val="40"/>
              <w:jc w:val="left"/>
              <w:rPr>
                <w:rFonts w:hint="default"/>
                <w:color w:val="auto"/>
                <w:lang w:val="en-US" w:eastAsia="zh-CN"/>
              </w:rPr>
            </w:pPr>
          </w:p>
          <w:p w14:paraId="56F8267D">
            <w:pPr>
              <w:pStyle w:val="28"/>
              <w:jc w:val="left"/>
              <w:rPr>
                <w:rFonts w:hint="default"/>
                <w:color w:val="auto"/>
                <w:lang w:val="en-US" w:eastAsia="zh-CN"/>
              </w:rPr>
            </w:pPr>
          </w:p>
          <w:p w14:paraId="60EF9519">
            <w:pPr>
              <w:jc w:val="left"/>
              <w:rPr>
                <w:rFonts w:hint="default"/>
                <w:color w:val="auto"/>
                <w:lang w:val="en-US" w:eastAsia="zh-CN"/>
              </w:rPr>
            </w:pPr>
          </w:p>
          <w:p w14:paraId="49B0267A">
            <w:pPr>
              <w:jc w:val="left"/>
              <w:rPr>
                <w:rFonts w:hint="default"/>
                <w:color w:val="auto"/>
                <w:lang w:val="en-US" w:eastAsia="zh-CN"/>
              </w:rPr>
            </w:pPr>
          </w:p>
          <w:p w14:paraId="70F2668D">
            <w:pPr>
              <w:jc w:val="left"/>
              <w:rPr>
                <w:rFonts w:hint="default"/>
                <w:color w:val="auto"/>
                <w:lang w:val="en-US" w:eastAsia="zh-CN"/>
              </w:rPr>
            </w:pPr>
          </w:p>
          <w:p w14:paraId="120D0226">
            <w:pPr>
              <w:jc w:val="left"/>
              <w:rPr>
                <w:rFonts w:hint="default"/>
                <w:color w:val="auto"/>
                <w:lang w:val="en-US" w:eastAsia="zh-CN"/>
              </w:rPr>
            </w:pPr>
          </w:p>
          <w:p w14:paraId="3E4BBF13">
            <w:pPr>
              <w:jc w:val="left"/>
              <w:rPr>
                <w:rFonts w:hint="default"/>
                <w:color w:val="auto"/>
                <w:lang w:val="en-US" w:eastAsia="zh-CN"/>
              </w:rPr>
            </w:pPr>
          </w:p>
          <w:p w14:paraId="428E8640">
            <w:pPr>
              <w:rPr>
                <w:rFonts w:hint="default"/>
                <w:color w:val="auto"/>
                <w:lang w:val="en-US" w:eastAsia="zh-CN"/>
              </w:rPr>
            </w:pPr>
          </w:p>
        </w:tc>
      </w:tr>
      <w:tr w14:paraId="4126B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426" w:type="dxa"/>
            <w:noWrap w:val="0"/>
            <w:vAlign w:val="center"/>
          </w:tcPr>
          <w:p w14:paraId="2225FA13">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运营</w:t>
            </w:r>
          </w:p>
          <w:p w14:paraId="5DBF1BD1">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期环</w:t>
            </w:r>
          </w:p>
          <w:p w14:paraId="748C4448">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境影</w:t>
            </w:r>
          </w:p>
          <w:p w14:paraId="54F2C80D">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响和</w:t>
            </w:r>
          </w:p>
          <w:p w14:paraId="1D976A90">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保护</w:t>
            </w:r>
          </w:p>
          <w:p w14:paraId="32986B3D">
            <w:pPr>
              <w:adjustRightInd w:val="0"/>
              <w:snapToGrid w:val="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措施</w:t>
            </w:r>
          </w:p>
        </w:tc>
        <w:tc>
          <w:tcPr>
            <w:tcW w:w="8635" w:type="dxa"/>
            <w:noWrap w:val="0"/>
            <w:vAlign w:val="top"/>
          </w:tcPr>
          <w:p w14:paraId="7B04719E">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b/>
                <w:bCs/>
                <w:color w:val="auto"/>
                <w:sz w:val="21"/>
                <w:highlight w:val="none"/>
                <w:lang w:val="en-US" w:eastAsia="zh-CN"/>
              </w:rPr>
              <w:t>1、</w:t>
            </w:r>
            <w:r>
              <w:rPr>
                <w:rFonts w:hint="default" w:ascii="Times New Roman" w:hAnsi="Times New Roman" w:eastAsia="宋体" w:cs="Times New Roman"/>
                <w:b/>
                <w:bCs/>
                <w:color w:val="auto"/>
                <w:sz w:val="21"/>
                <w:highlight w:val="none"/>
              </w:rPr>
              <w:t>废气环境影响和保护措施</w:t>
            </w:r>
          </w:p>
          <w:p w14:paraId="62B653A7">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lang w:val="en-US"/>
              </w:rPr>
            </w:pPr>
            <w:r>
              <w:rPr>
                <w:rFonts w:hint="default" w:ascii="Times New Roman" w:hAnsi="Times New Roman" w:eastAsia="宋体" w:cs="Times New Roman"/>
                <w:color w:val="auto"/>
                <w:sz w:val="21"/>
                <w:highlight w:val="none"/>
                <w:lang w:val="en-US" w:eastAsia="zh-CN"/>
              </w:rPr>
              <w:t>（1）锅炉烟气</w:t>
            </w:r>
          </w:p>
          <w:p w14:paraId="4D6FE5D5">
            <w:pPr>
              <w:pStyle w:val="124"/>
              <w:keepNext w:val="0"/>
              <w:keepLines w:val="0"/>
              <w:pageBreakBefore w:val="0"/>
              <w:suppressLineNumbers w:val="0"/>
              <w:kinsoku/>
              <w:overflowPunct/>
              <w:topLinePunct w:val="0"/>
              <w:bidi w:val="0"/>
              <w:spacing w:before="0" w:beforeAutospacing="0" w:after="0" w:afterAutospacing="0" w:line="360" w:lineRule="auto"/>
              <w:ind w:left="0" w:right="0" w:firstLine="420"/>
              <w:rPr>
                <w:rFonts w:hint="eastAsia" w:ascii="Times New Roman" w:hAnsi="Times New Roman" w:eastAsia="宋体"/>
                <w:color w:val="auto"/>
                <w:sz w:val="21"/>
                <w:szCs w:val="21"/>
              </w:rPr>
            </w:pPr>
            <w:bookmarkStart w:id="48" w:name="_Hlk65495833"/>
            <w:r>
              <w:rPr>
                <w:rFonts w:hint="default" w:ascii="Times New Roman" w:hAnsi="Times New Roman" w:eastAsia="宋体"/>
                <w:color w:val="auto"/>
                <w:sz w:val="21"/>
                <w:szCs w:val="21"/>
              </w:rPr>
              <w:t>氮氧化物</w:t>
            </w:r>
            <w:r>
              <w:rPr>
                <w:rFonts w:hint="eastAsia" w:ascii="Times New Roman" w:hAnsi="Times New Roman" w:eastAsia="宋体"/>
                <w:color w:val="auto"/>
                <w:sz w:val="21"/>
                <w:szCs w:val="21"/>
              </w:rPr>
              <w:t>、颗粒物</w:t>
            </w:r>
            <w:r>
              <w:rPr>
                <w:rFonts w:hint="default" w:ascii="Times New Roman" w:hAnsi="Times New Roman" w:eastAsia="宋体"/>
                <w:color w:val="auto"/>
                <w:sz w:val="21"/>
                <w:szCs w:val="21"/>
              </w:rPr>
              <w:t>、二氧化硫源强根据《污染源源强核算技术指南</w:t>
            </w:r>
            <w:r>
              <w:rPr>
                <w:rFonts w:hint="eastAsia"/>
                <w:color w:val="auto"/>
                <w:sz w:val="21"/>
                <w:szCs w:val="21"/>
                <w:lang w:val="en-US" w:eastAsia="zh-CN"/>
              </w:rPr>
              <w:t xml:space="preserve"> </w:t>
            </w:r>
            <w:r>
              <w:rPr>
                <w:rFonts w:hint="default" w:ascii="Times New Roman" w:hAnsi="Times New Roman" w:eastAsia="宋体"/>
                <w:color w:val="auto"/>
                <w:sz w:val="21"/>
                <w:szCs w:val="21"/>
              </w:rPr>
              <w:t>锅炉》（HJ888-2018）物料衡算法计算</w:t>
            </w:r>
            <w:bookmarkEnd w:id="48"/>
            <w:r>
              <w:rPr>
                <w:rFonts w:hint="eastAsia" w:ascii="Times New Roman" w:hAnsi="Times New Roman" w:eastAsia="宋体"/>
                <w:color w:val="auto"/>
                <w:sz w:val="21"/>
                <w:szCs w:val="21"/>
              </w:rPr>
              <w:t>；锅炉烟气量根据</w:t>
            </w:r>
            <w:r>
              <w:rPr>
                <w:rFonts w:hint="default" w:ascii="Times New Roman" w:hAnsi="Times New Roman" w:eastAsia="宋体"/>
                <w:color w:val="auto"/>
                <w:sz w:val="21"/>
                <w:szCs w:val="21"/>
              </w:rPr>
              <w:t>《污染源源强核算技术指南</w:t>
            </w:r>
            <w:r>
              <w:rPr>
                <w:rFonts w:hint="eastAsia"/>
                <w:color w:val="auto"/>
                <w:sz w:val="21"/>
                <w:szCs w:val="21"/>
                <w:lang w:val="en-US" w:eastAsia="zh-CN"/>
              </w:rPr>
              <w:t xml:space="preserve"> </w:t>
            </w:r>
            <w:r>
              <w:rPr>
                <w:rFonts w:hint="default" w:ascii="Times New Roman" w:hAnsi="Times New Roman" w:eastAsia="宋体"/>
                <w:color w:val="auto"/>
                <w:sz w:val="21"/>
                <w:szCs w:val="21"/>
              </w:rPr>
              <w:t>锅炉》（HJ888-2018）</w:t>
            </w:r>
            <w:r>
              <w:rPr>
                <w:rFonts w:hint="eastAsia" w:ascii="Times New Roman" w:hAnsi="Times New Roman" w:eastAsia="宋体"/>
                <w:color w:val="auto"/>
                <w:sz w:val="21"/>
                <w:szCs w:val="21"/>
              </w:rPr>
              <w:t>中</w:t>
            </w:r>
            <w:r>
              <w:rPr>
                <w:rFonts w:hint="eastAsia"/>
                <w:color w:val="auto"/>
                <w:sz w:val="21"/>
                <w:szCs w:val="21"/>
                <w:lang w:val="en-US" w:eastAsia="zh-CN"/>
              </w:rPr>
              <w:t>附录C</w:t>
            </w:r>
            <w:r>
              <w:rPr>
                <w:rFonts w:hint="eastAsia" w:ascii="Times New Roman" w:hAnsi="Times New Roman" w:eastAsia="宋体"/>
                <w:color w:val="auto"/>
                <w:sz w:val="21"/>
                <w:szCs w:val="21"/>
              </w:rPr>
              <w:t>进行计算。东北地区生物质燃料中汞及其化合物含量较低，因此不对汞及其化合物排放量进行核算。</w:t>
            </w:r>
          </w:p>
          <w:p w14:paraId="276FA93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color w:val="auto"/>
                <w:kern w:val="2"/>
                <w:sz w:val="21"/>
                <w:szCs w:val="22"/>
                <w:highlight w:val="none"/>
                <w:lang w:val="en-US" w:eastAsia="zh-CN" w:bidi="ar-SA"/>
              </w:rPr>
            </w:pPr>
            <w:r>
              <w:rPr>
                <w:rFonts w:hint="default" w:ascii="Times New Roman" w:hAnsi="Times New Roman" w:eastAsia="宋体" w:cs="Times New Roman"/>
                <w:b/>
                <w:color w:val="auto"/>
                <w:kern w:val="2"/>
                <w:sz w:val="21"/>
                <w:szCs w:val="22"/>
                <w:highlight w:val="none"/>
                <w:lang w:val="en-US" w:eastAsia="zh-CN" w:bidi="ar-SA"/>
              </w:rPr>
              <w:t>表4-1  废气污染源源强核算结果及相关参数一览表</w:t>
            </w:r>
          </w:p>
          <w:tbl>
            <w:tblPr>
              <w:tblStyle w:val="4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5"/>
              <w:gridCol w:w="587"/>
              <w:gridCol w:w="426"/>
              <w:gridCol w:w="899"/>
              <w:gridCol w:w="786"/>
              <w:gridCol w:w="647"/>
              <w:gridCol w:w="647"/>
              <w:gridCol w:w="562"/>
              <w:gridCol w:w="512"/>
              <w:gridCol w:w="431"/>
              <w:gridCol w:w="780"/>
              <w:gridCol w:w="960"/>
              <w:gridCol w:w="754"/>
            </w:tblGrid>
            <w:tr w14:paraId="6B8E1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252" w:type="pct"/>
                  <w:vMerge w:val="restart"/>
                  <w:vAlign w:val="center"/>
                </w:tcPr>
                <w:p w14:paraId="7F9DEEC0">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产排污环节</w:t>
                  </w:r>
                </w:p>
              </w:tc>
              <w:tc>
                <w:tcPr>
                  <w:tcW w:w="348" w:type="pct"/>
                  <w:vMerge w:val="restart"/>
                  <w:vAlign w:val="center"/>
                </w:tcPr>
                <w:p w14:paraId="06E7AA9D">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w:t>
                  </w:r>
                </w:p>
              </w:tc>
              <w:tc>
                <w:tcPr>
                  <w:tcW w:w="253" w:type="pct"/>
                  <w:vMerge w:val="restart"/>
                  <w:vAlign w:val="center"/>
                </w:tcPr>
                <w:p w14:paraId="0BDF3E3E">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排放方式</w:t>
                  </w:r>
                </w:p>
              </w:tc>
              <w:tc>
                <w:tcPr>
                  <w:tcW w:w="1001" w:type="pct"/>
                  <w:gridSpan w:val="2"/>
                  <w:vAlign w:val="center"/>
                </w:tcPr>
                <w:p w14:paraId="556C03A5">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污染物产生</w:t>
                  </w:r>
                </w:p>
              </w:tc>
              <w:tc>
                <w:tcPr>
                  <w:tcW w:w="1406" w:type="pct"/>
                  <w:gridSpan w:val="4"/>
                  <w:vAlign w:val="center"/>
                </w:tcPr>
                <w:p w14:paraId="2C340076">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治理</w:t>
                  </w:r>
                  <w:r>
                    <w:rPr>
                      <w:rFonts w:hint="eastAsia" w:cs="Times New Roman"/>
                      <w:color w:val="auto"/>
                      <w:szCs w:val="21"/>
                      <w:lang w:val="en-US" w:eastAsia="zh-CN"/>
                    </w:rPr>
                    <w:t>措施</w:t>
                  </w:r>
                </w:p>
              </w:tc>
              <w:tc>
                <w:tcPr>
                  <w:tcW w:w="1737" w:type="pct"/>
                  <w:gridSpan w:val="4"/>
                  <w:vAlign w:val="center"/>
                </w:tcPr>
                <w:p w14:paraId="2CD9D3EA">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污染物排放</w:t>
                  </w:r>
                </w:p>
              </w:tc>
            </w:tr>
            <w:tr w14:paraId="796C53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252" w:type="pct"/>
                  <w:vMerge w:val="continue"/>
                  <w:vAlign w:val="center"/>
                </w:tcPr>
                <w:p w14:paraId="616DE1CE">
                  <w:pPr>
                    <w:spacing w:before="100" w:beforeAutospacing="1" w:after="100" w:afterAutospacing="1" w:line="0" w:lineRule="atLeast"/>
                    <w:jc w:val="center"/>
                    <w:rPr>
                      <w:rFonts w:hint="default" w:ascii="Times New Roman" w:hAnsi="Times New Roman" w:cs="Times New Roman"/>
                      <w:color w:val="auto"/>
                      <w:szCs w:val="21"/>
                    </w:rPr>
                  </w:pPr>
                </w:p>
              </w:tc>
              <w:tc>
                <w:tcPr>
                  <w:tcW w:w="348" w:type="pct"/>
                  <w:vMerge w:val="continue"/>
                  <w:vAlign w:val="center"/>
                </w:tcPr>
                <w:p w14:paraId="46ECD093">
                  <w:pPr>
                    <w:spacing w:before="100" w:beforeAutospacing="1" w:after="100" w:afterAutospacing="1" w:line="0" w:lineRule="atLeast"/>
                    <w:jc w:val="center"/>
                    <w:rPr>
                      <w:rFonts w:hint="default" w:ascii="Times New Roman" w:hAnsi="Times New Roman" w:cs="Times New Roman"/>
                      <w:color w:val="auto"/>
                      <w:szCs w:val="21"/>
                    </w:rPr>
                  </w:pPr>
                </w:p>
              </w:tc>
              <w:tc>
                <w:tcPr>
                  <w:tcW w:w="253" w:type="pct"/>
                  <w:vMerge w:val="continue"/>
                  <w:vAlign w:val="center"/>
                </w:tcPr>
                <w:p w14:paraId="17072E60">
                  <w:pPr>
                    <w:spacing w:before="100" w:beforeAutospacing="1" w:after="100" w:afterAutospacing="1" w:line="0" w:lineRule="atLeast"/>
                    <w:jc w:val="center"/>
                    <w:rPr>
                      <w:rFonts w:hint="default" w:ascii="Times New Roman" w:hAnsi="Times New Roman" w:cs="Times New Roman"/>
                      <w:color w:val="auto"/>
                      <w:szCs w:val="21"/>
                    </w:rPr>
                  </w:pPr>
                </w:p>
              </w:tc>
              <w:tc>
                <w:tcPr>
                  <w:tcW w:w="534" w:type="pct"/>
                  <w:vAlign w:val="center"/>
                </w:tcPr>
                <w:p w14:paraId="4EA89242">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产生浓度mg/m</w:t>
                  </w:r>
                  <w:r>
                    <w:rPr>
                      <w:rFonts w:hint="default" w:ascii="Times New Roman" w:hAnsi="Times New Roman" w:cs="Times New Roman"/>
                      <w:color w:val="auto"/>
                      <w:szCs w:val="21"/>
                      <w:vertAlign w:val="superscript"/>
                    </w:rPr>
                    <w:t>3</w:t>
                  </w:r>
                </w:p>
              </w:tc>
              <w:tc>
                <w:tcPr>
                  <w:tcW w:w="466" w:type="pct"/>
                  <w:vAlign w:val="center"/>
                </w:tcPr>
                <w:p w14:paraId="69F2E27E">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产生量t/a</w:t>
                  </w:r>
                </w:p>
              </w:tc>
              <w:tc>
                <w:tcPr>
                  <w:tcW w:w="384" w:type="pct"/>
                  <w:vAlign w:val="center"/>
                </w:tcPr>
                <w:p w14:paraId="12B434BE">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处理措施</w:t>
                  </w:r>
                </w:p>
              </w:tc>
              <w:tc>
                <w:tcPr>
                  <w:tcW w:w="384" w:type="pct"/>
                  <w:vAlign w:val="center"/>
                </w:tcPr>
                <w:p w14:paraId="7F065F63">
                  <w:pPr>
                    <w:spacing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收集效率%</w:t>
                  </w:r>
                </w:p>
              </w:tc>
              <w:tc>
                <w:tcPr>
                  <w:tcW w:w="333" w:type="pct"/>
                  <w:vAlign w:val="center"/>
                </w:tcPr>
                <w:p w14:paraId="5BEA72EB">
                  <w:pPr>
                    <w:spacing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去除率</w:t>
                  </w:r>
                </w:p>
                <w:p w14:paraId="5E9ECDBF">
                  <w:pPr>
                    <w:spacing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04" w:type="pct"/>
                  <w:vAlign w:val="center"/>
                </w:tcPr>
                <w:p w14:paraId="39D6AFA2">
                  <w:pPr>
                    <w:spacing w:line="0" w:lineRule="atLeast"/>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治理能力</w:t>
                  </w:r>
                </w:p>
              </w:tc>
              <w:tc>
                <w:tcPr>
                  <w:tcW w:w="256" w:type="pct"/>
                  <w:vAlign w:val="center"/>
                </w:tcPr>
                <w:p w14:paraId="61B0BE36">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是否为可行技术</w:t>
                  </w:r>
                </w:p>
              </w:tc>
              <w:tc>
                <w:tcPr>
                  <w:tcW w:w="463" w:type="pct"/>
                  <w:vAlign w:val="center"/>
                </w:tcPr>
                <w:p w14:paraId="4A3A69E4">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排放浓度mg/m</w:t>
                  </w:r>
                  <w:r>
                    <w:rPr>
                      <w:rFonts w:hint="default" w:ascii="Times New Roman" w:hAnsi="Times New Roman" w:cs="Times New Roman"/>
                      <w:color w:val="auto"/>
                      <w:szCs w:val="21"/>
                      <w:vertAlign w:val="superscript"/>
                    </w:rPr>
                    <w:t>3</w:t>
                  </w:r>
                </w:p>
              </w:tc>
              <w:tc>
                <w:tcPr>
                  <w:tcW w:w="570" w:type="pct"/>
                  <w:vAlign w:val="center"/>
                </w:tcPr>
                <w:p w14:paraId="17B64CB9">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排放速率kg/h</w:t>
                  </w:r>
                </w:p>
              </w:tc>
              <w:tc>
                <w:tcPr>
                  <w:tcW w:w="447" w:type="pct"/>
                  <w:vAlign w:val="center"/>
                </w:tcPr>
                <w:p w14:paraId="5ABCBF47">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排放量t/a</w:t>
                  </w:r>
                </w:p>
              </w:tc>
            </w:tr>
            <w:tr w14:paraId="714580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252" w:type="pct"/>
                  <w:vMerge w:val="restart"/>
                  <w:vAlign w:val="center"/>
                </w:tcPr>
                <w:p w14:paraId="6A2A9057">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生物质锅炉</w:t>
                  </w:r>
                </w:p>
              </w:tc>
              <w:tc>
                <w:tcPr>
                  <w:tcW w:w="348" w:type="pct"/>
                  <w:shd w:val="clear" w:color="auto" w:fill="auto"/>
                  <w:vAlign w:val="center"/>
                </w:tcPr>
                <w:p w14:paraId="12C3F132">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253" w:type="pct"/>
                  <w:vMerge w:val="restart"/>
                  <w:shd w:val="clear" w:color="auto" w:fill="auto"/>
                  <w:vAlign w:val="center"/>
                </w:tcPr>
                <w:p w14:paraId="3EB0D482">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有组织</w:t>
                  </w:r>
                </w:p>
              </w:tc>
              <w:tc>
                <w:tcPr>
                  <w:tcW w:w="534" w:type="pct"/>
                  <w:vAlign w:val="center"/>
                </w:tcPr>
                <w:p w14:paraId="50FE5747">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5337.84</w:t>
                  </w:r>
                </w:p>
              </w:tc>
              <w:tc>
                <w:tcPr>
                  <w:tcW w:w="466" w:type="pct"/>
                  <w:tcBorders>
                    <w:top w:val="single" w:color="auto" w:sz="4" w:space="0"/>
                  </w:tcBorders>
                  <w:vAlign w:val="center"/>
                </w:tcPr>
                <w:p w14:paraId="1C45D9EB">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118.16</w:t>
                  </w:r>
                </w:p>
              </w:tc>
              <w:tc>
                <w:tcPr>
                  <w:tcW w:w="384" w:type="pct"/>
                  <w:tcBorders>
                    <w:top w:val="single" w:color="auto" w:sz="4" w:space="0"/>
                  </w:tcBorders>
                  <w:vAlign w:val="center"/>
                </w:tcPr>
                <w:p w14:paraId="1CCC02DE">
                  <w:pPr>
                    <w:spacing w:before="100" w:beforeAutospacing="1" w:after="100" w:afterAutospacing="1" w:line="0" w:lineRule="atLeast"/>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旋风+布袋除尘器</w:t>
                  </w:r>
                </w:p>
              </w:tc>
              <w:tc>
                <w:tcPr>
                  <w:tcW w:w="384" w:type="pct"/>
                  <w:vAlign w:val="center"/>
                </w:tcPr>
                <w:p w14:paraId="7A585BAB">
                  <w:pPr>
                    <w:spacing w:before="100" w:beforeAutospacing="1" w:after="100" w:afterAutospacing="1"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100</w:t>
                  </w:r>
                </w:p>
              </w:tc>
              <w:tc>
                <w:tcPr>
                  <w:tcW w:w="333" w:type="pct"/>
                  <w:vAlign w:val="center"/>
                </w:tcPr>
                <w:p w14:paraId="0F99A793">
                  <w:pPr>
                    <w:spacing w:before="100" w:beforeAutospacing="1" w:after="100" w:afterAutospacing="1"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99.7</w:t>
                  </w:r>
                </w:p>
              </w:tc>
              <w:tc>
                <w:tcPr>
                  <w:tcW w:w="304" w:type="pct"/>
                  <w:vMerge w:val="restart"/>
                  <w:vAlign w:val="center"/>
                </w:tcPr>
                <w:p w14:paraId="33A9D270">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5124</w:t>
                  </w:r>
                  <w:r>
                    <w:rPr>
                      <w:rFonts w:hint="eastAsia" w:hAnsi="宋体" w:cs="Times New Roman"/>
                      <w:bCs/>
                      <w:color w:val="000000" w:themeColor="text1"/>
                      <w:kern w:val="2"/>
                      <w:sz w:val="21"/>
                      <w:szCs w:val="21"/>
                      <w:highlight w:val="none"/>
                      <w:lang w:val="en-US" w:eastAsia="zh-CN" w:bidi="ar-SA"/>
                      <w14:textFill>
                        <w14:solidFill>
                          <w14:schemeClr w14:val="tx1"/>
                        </w14:solidFill>
                      </w14:textFill>
                    </w:rPr>
                    <w:t>m</w:t>
                  </w:r>
                  <w:r>
                    <w:rPr>
                      <w:rFonts w:hint="eastAsia" w:hAnsi="宋体" w:cs="Times New Roman"/>
                      <w:bCs/>
                      <w:color w:val="000000" w:themeColor="text1"/>
                      <w:kern w:val="2"/>
                      <w:sz w:val="21"/>
                      <w:szCs w:val="21"/>
                      <w:highlight w:val="none"/>
                      <w:vertAlign w:val="superscript"/>
                      <w:lang w:val="en-US" w:eastAsia="zh-CN" w:bidi="ar-SA"/>
                      <w14:textFill>
                        <w14:solidFill>
                          <w14:schemeClr w14:val="tx1"/>
                        </w14:solidFill>
                      </w14:textFill>
                    </w:rPr>
                    <w:t>3</w:t>
                  </w:r>
                  <w:r>
                    <w:rPr>
                      <w:rFonts w:hint="eastAsia" w:hAnsi="宋体" w:cs="Times New Roman"/>
                      <w:bCs/>
                      <w:color w:val="000000" w:themeColor="text1"/>
                      <w:kern w:val="2"/>
                      <w:sz w:val="21"/>
                      <w:szCs w:val="21"/>
                      <w:highlight w:val="none"/>
                      <w:lang w:val="en-US" w:eastAsia="zh-CN" w:bidi="ar-SA"/>
                      <w14:textFill>
                        <w14:solidFill>
                          <w14:schemeClr w14:val="tx1"/>
                        </w14:solidFill>
                      </w14:textFill>
                    </w:rPr>
                    <w:t>/h</w:t>
                  </w:r>
                </w:p>
              </w:tc>
              <w:tc>
                <w:tcPr>
                  <w:tcW w:w="256" w:type="pct"/>
                  <w:vAlign w:val="center"/>
                </w:tcPr>
                <w:p w14:paraId="32551F5E">
                  <w:pPr>
                    <w:spacing w:before="100" w:beforeAutospacing="1" w:after="100" w:afterAutospacing="1"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是</w:t>
                  </w:r>
                </w:p>
              </w:tc>
              <w:tc>
                <w:tcPr>
                  <w:tcW w:w="463" w:type="pct"/>
                  <w:vAlign w:val="center"/>
                </w:tcPr>
                <w:p w14:paraId="1AE754E6">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16.01</w:t>
                  </w:r>
                </w:p>
              </w:tc>
              <w:tc>
                <w:tcPr>
                  <w:tcW w:w="570" w:type="pct"/>
                  <w:vAlign w:val="center"/>
                </w:tcPr>
                <w:p w14:paraId="7D203B14">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0.08</w:t>
                  </w:r>
                </w:p>
              </w:tc>
              <w:tc>
                <w:tcPr>
                  <w:tcW w:w="447" w:type="pct"/>
                  <w:vAlign w:val="center"/>
                </w:tcPr>
                <w:p w14:paraId="5E680E3A">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0.35</w:t>
                  </w:r>
                </w:p>
              </w:tc>
            </w:tr>
            <w:tr w14:paraId="47AD02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jc w:val="center"/>
              </w:trPr>
              <w:tc>
                <w:tcPr>
                  <w:tcW w:w="252" w:type="pct"/>
                  <w:vMerge w:val="continue"/>
                  <w:vAlign w:val="center"/>
                </w:tcPr>
                <w:p w14:paraId="5A1327D5">
                  <w:pPr>
                    <w:spacing w:before="100" w:beforeAutospacing="1" w:after="100" w:afterAutospacing="1" w:line="0" w:lineRule="atLeast"/>
                    <w:jc w:val="center"/>
                    <w:rPr>
                      <w:rFonts w:hint="default" w:ascii="Times New Roman" w:hAnsi="Times New Roman" w:cs="Times New Roman"/>
                      <w:color w:val="auto"/>
                      <w:szCs w:val="21"/>
                    </w:rPr>
                  </w:pPr>
                </w:p>
              </w:tc>
              <w:tc>
                <w:tcPr>
                  <w:tcW w:w="348" w:type="pct"/>
                  <w:shd w:val="clear" w:color="auto" w:fill="auto"/>
                  <w:vAlign w:val="center"/>
                </w:tcPr>
                <w:p w14:paraId="2EDC13E6">
                  <w:pPr>
                    <w:spacing w:before="100" w:beforeAutospacing="1" w:after="100" w:afterAutospacing="1" w:line="0" w:lineRule="atLeast"/>
                    <w:jc w:val="center"/>
                    <w:rPr>
                      <w:rFonts w:hint="default" w:ascii="Times New Roman" w:hAnsi="Times New Roman" w:cs="Times New Roman"/>
                      <w:color w:val="auto"/>
                      <w:szCs w:val="21"/>
                      <w:vertAlign w:val="subscript"/>
                    </w:rPr>
                  </w:pPr>
                  <w:r>
                    <w:rPr>
                      <w:rFonts w:hint="default" w:ascii="Times New Roman" w:hAnsi="Times New Roman" w:cs="Times New Roman"/>
                      <w:color w:val="auto"/>
                      <w:szCs w:val="21"/>
                    </w:rPr>
                    <w:t>SO</w:t>
                  </w:r>
                  <w:r>
                    <w:rPr>
                      <w:rFonts w:hint="default" w:ascii="Times New Roman" w:hAnsi="Times New Roman" w:cs="Times New Roman"/>
                      <w:color w:val="auto"/>
                      <w:szCs w:val="21"/>
                      <w:vertAlign w:val="subscript"/>
                    </w:rPr>
                    <w:t>2</w:t>
                  </w:r>
                </w:p>
              </w:tc>
              <w:tc>
                <w:tcPr>
                  <w:tcW w:w="253" w:type="pct"/>
                  <w:vMerge w:val="continue"/>
                  <w:shd w:val="clear" w:color="auto" w:fill="auto"/>
                  <w:vAlign w:val="center"/>
                </w:tcPr>
                <w:p w14:paraId="3D216FF3">
                  <w:pPr>
                    <w:spacing w:before="100" w:beforeAutospacing="1" w:after="100" w:afterAutospacing="1" w:line="0" w:lineRule="atLeast"/>
                    <w:jc w:val="center"/>
                    <w:rPr>
                      <w:rFonts w:hint="default" w:ascii="Times New Roman" w:hAnsi="Times New Roman" w:cs="Times New Roman"/>
                      <w:color w:val="auto"/>
                      <w:szCs w:val="21"/>
                    </w:rPr>
                  </w:pPr>
                </w:p>
              </w:tc>
              <w:tc>
                <w:tcPr>
                  <w:tcW w:w="534" w:type="pct"/>
                  <w:vAlign w:val="center"/>
                </w:tcPr>
                <w:p w14:paraId="0BAB56F4">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97.00</w:t>
                  </w:r>
                </w:p>
              </w:tc>
              <w:tc>
                <w:tcPr>
                  <w:tcW w:w="466" w:type="pct"/>
                  <w:vAlign w:val="center"/>
                </w:tcPr>
                <w:p w14:paraId="4399BFB4">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2.15</w:t>
                  </w:r>
                </w:p>
              </w:tc>
              <w:tc>
                <w:tcPr>
                  <w:tcW w:w="384" w:type="pct"/>
                  <w:vAlign w:val="center"/>
                </w:tcPr>
                <w:p w14:paraId="060F42B5">
                  <w:pPr>
                    <w:spacing w:before="100" w:beforeAutospacing="1" w:after="100" w:afterAutospacing="1"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384" w:type="pct"/>
                  <w:vAlign w:val="center"/>
                </w:tcPr>
                <w:p w14:paraId="30F1BF8B">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100</w:t>
                  </w:r>
                </w:p>
              </w:tc>
              <w:tc>
                <w:tcPr>
                  <w:tcW w:w="333" w:type="pct"/>
                  <w:vAlign w:val="center"/>
                </w:tcPr>
                <w:p w14:paraId="72F3D938">
                  <w:pPr>
                    <w:spacing w:before="100" w:beforeAutospacing="1" w:after="100" w:afterAutospacing="1"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304" w:type="pct"/>
                  <w:vMerge w:val="continue"/>
                  <w:vAlign w:val="center"/>
                </w:tcPr>
                <w:p w14:paraId="4861358C">
                  <w:pPr>
                    <w:spacing w:before="100" w:beforeAutospacing="1" w:after="100" w:afterAutospacing="1" w:line="0" w:lineRule="atLeast"/>
                    <w:jc w:val="center"/>
                    <w:rPr>
                      <w:rFonts w:hint="default" w:ascii="Times New Roman" w:hAnsi="Times New Roman" w:cs="Times New Roman"/>
                      <w:color w:val="auto"/>
                      <w:szCs w:val="21"/>
                      <w:highlight w:val="none"/>
                    </w:rPr>
                  </w:pPr>
                </w:p>
              </w:tc>
              <w:tc>
                <w:tcPr>
                  <w:tcW w:w="256" w:type="pct"/>
                  <w:vAlign w:val="center"/>
                </w:tcPr>
                <w:p w14:paraId="3E047263">
                  <w:pPr>
                    <w:spacing w:before="100" w:beforeAutospacing="1" w:after="100" w:afterAutospacing="1" w:line="0" w:lineRule="atLeas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是</w:t>
                  </w:r>
                </w:p>
              </w:tc>
              <w:tc>
                <w:tcPr>
                  <w:tcW w:w="463" w:type="pct"/>
                  <w:shd w:val="clear" w:color="auto" w:fill="auto"/>
                  <w:vAlign w:val="center"/>
                </w:tcPr>
                <w:p w14:paraId="62917582">
                  <w:pPr>
                    <w:spacing w:before="100" w:beforeAutospacing="1" w:after="100" w:afterAutospacing="1" w:line="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97.00</w:t>
                  </w:r>
                </w:p>
              </w:tc>
              <w:tc>
                <w:tcPr>
                  <w:tcW w:w="570" w:type="pct"/>
                  <w:shd w:val="clear" w:color="auto" w:fill="auto"/>
                  <w:vAlign w:val="center"/>
                </w:tcPr>
                <w:p w14:paraId="298571C4">
                  <w:pPr>
                    <w:spacing w:before="100" w:beforeAutospacing="1" w:after="100" w:afterAutospacing="1" w:line="0" w:lineRule="atLeas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0.5</w:t>
                  </w:r>
                </w:p>
              </w:tc>
              <w:tc>
                <w:tcPr>
                  <w:tcW w:w="447" w:type="pct"/>
                  <w:vAlign w:val="center"/>
                </w:tcPr>
                <w:p w14:paraId="7D3F9DCC">
                  <w:pPr>
                    <w:spacing w:before="100" w:beforeAutospacing="1" w:after="100" w:afterAutospacing="1" w:line="0" w:lineRule="atLeas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2.15</w:t>
                  </w:r>
                </w:p>
              </w:tc>
            </w:tr>
            <w:tr w14:paraId="06D343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2" w:type="pct"/>
                  <w:vMerge w:val="continue"/>
                  <w:vAlign w:val="center"/>
                </w:tcPr>
                <w:p w14:paraId="3B2D8633">
                  <w:pPr>
                    <w:spacing w:before="100" w:beforeAutospacing="1" w:after="100" w:afterAutospacing="1" w:line="0" w:lineRule="atLeast"/>
                    <w:jc w:val="center"/>
                    <w:rPr>
                      <w:rFonts w:hint="default" w:ascii="Times New Roman" w:hAnsi="Times New Roman" w:cs="Times New Roman"/>
                      <w:color w:val="auto"/>
                      <w:szCs w:val="21"/>
                    </w:rPr>
                  </w:pPr>
                </w:p>
              </w:tc>
              <w:tc>
                <w:tcPr>
                  <w:tcW w:w="348" w:type="pct"/>
                  <w:shd w:val="clear" w:color="auto" w:fill="auto"/>
                  <w:vAlign w:val="center"/>
                </w:tcPr>
                <w:p w14:paraId="19DDD690">
                  <w:pPr>
                    <w:spacing w:before="100" w:beforeAutospacing="1" w:after="100" w:afterAutospacing="1" w:line="0" w:lineRule="atLeast"/>
                    <w:jc w:val="center"/>
                    <w:rPr>
                      <w:rFonts w:hint="default" w:ascii="Times New Roman" w:hAnsi="Times New Roman" w:cs="Times New Roman"/>
                      <w:color w:val="auto"/>
                      <w:szCs w:val="21"/>
                      <w:vertAlign w:val="subscript"/>
                    </w:rPr>
                  </w:pPr>
                  <w:r>
                    <w:rPr>
                      <w:rFonts w:hint="default" w:ascii="Times New Roman" w:hAnsi="Times New Roman" w:cs="Times New Roman"/>
                      <w:color w:val="auto"/>
                      <w:szCs w:val="21"/>
                    </w:rPr>
                    <w:t>NO</w:t>
                  </w:r>
                  <w:r>
                    <w:rPr>
                      <w:rFonts w:hint="default" w:ascii="Times New Roman" w:hAnsi="Times New Roman" w:cs="Times New Roman"/>
                      <w:color w:val="auto"/>
                      <w:szCs w:val="21"/>
                      <w:vertAlign w:val="subscript"/>
                    </w:rPr>
                    <w:t>x</w:t>
                  </w:r>
                </w:p>
              </w:tc>
              <w:tc>
                <w:tcPr>
                  <w:tcW w:w="253" w:type="pct"/>
                  <w:vMerge w:val="continue"/>
                  <w:shd w:val="clear" w:color="auto" w:fill="auto"/>
                  <w:vAlign w:val="center"/>
                </w:tcPr>
                <w:p w14:paraId="70E5C078">
                  <w:pPr>
                    <w:spacing w:before="100" w:beforeAutospacing="1" w:after="100" w:afterAutospacing="1" w:line="0" w:lineRule="atLeast"/>
                    <w:jc w:val="center"/>
                    <w:rPr>
                      <w:rFonts w:hint="default" w:ascii="Times New Roman" w:hAnsi="Times New Roman" w:cs="Times New Roman"/>
                      <w:color w:val="auto"/>
                      <w:szCs w:val="21"/>
                    </w:rPr>
                  </w:pPr>
                </w:p>
              </w:tc>
              <w:tc>
                <w:tcPr>
                  <w:tcW w:w="534" w:type="pct"/>
                  <w:vAlign w:val="center"/>
                </w:tcPr>
                <w:p w14:paraId="5D6B1210">
                  <w:pPr>
                    <w:spacing w:before="100" w:beforeAutospacing="1" w:after="100" w:afterAutospacing="1" w:line="0" w:lineRule="atLeast"/>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200</w:t>
                  </w:r>
                </w:p>
              </w:tc>
              <w:tc>
                <w:tcPr>
                  <w:tcW w:w="466" w:type="pct"/>
                  <w:vAlign w:val="center"/>
                </w:tcPr>
                <w:p w14:paraId="14FBC51B">
                  <w:pPr>
                    <w:spacing w:before="100" w:beforeAutospacing="1" w:after="100" w:afterAutospacing="1" w:line="0" w:lineRule="atLeast"/>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4.43</w:t>
                  </w:r>
                </w:p>
              </w:tc>
              <w:tc>
                <w:tcPr>
                  <w:tcW w:w="384" w:type="pct"/>
                  <w:vAlign w:val="center"/>
                </w:tcPr>
                <w:p w14:paraId="3241FF8A">
                  <w:pPr>
                    <w:spacing w:before="100" w:beforeAutospacing="1" w:after="100" w:afterAutospacing="1" w:line="0" w:lineRule="atLeast"/>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低氮燃烧</w:t>
                  </w:r>
                </w:p>
              </w:tc>
              <w:tc>
                <w:tcPr>
                  <w:tcW w:w="384" w:type="pct"/>
                  <w:vAlign w:val="center"/>
                </w:tcPr>
                <w:p w14:paraId="0A18F11C">
                  <w:pPr>
                    <w:spacing w:before="100" w:beforeAutospacing="1" w:after="100" w:afterAutospacing="1" w:line="0" w:lineRule="atLeast"/>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100</w:t>
                  </w:r>
                </w:p>
              </w:tc>
              <w:tc>
                <w:tcPr>
                  <w:tcW w:w="333" w:type="pct"/>
                  <w:vAlign w:val="center"/>
                </w:tcPr>
                <w:p w14:paraId="6924F67D">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04" w:type="pct"/>
                  <w:vMerge w:val="continue"/>
                  <w:vAlign w:val="center"/>
                </w:tcPr>
                <w:p w14:paraId="226FEB48">
                  <w:pPr>
                    <w:spacing w:before="100" w:beforeAutospacing="1" w:after="100" w:afterAutospacing="1" w:line="0" w:lineRule="atLeast"/>
                    <w:jc w:val="center"/>
                    <w:rPr>
                      <w:rFonts w:hint="default" w:ascii="Times New Roman" w:hAnsi="Times New Roman" w:cs="Times New Roman"/>
                      <w:color w:val="auto"/>
                      <w:szCs w:val="21"/>
                    </w:rPr>
                  </w:pPr>
                </w:p>
              </w:tc>
              <w:tc>
                <w:tcPr>
                  <w:tcW w:w="256" w:type="pct"/>
                  <w:vAlign w:val="center"/>
                </w:tcPr>
                <w:p w14:paraId="1A5AEEE5">
                  <w:pPr>
                    <w:spacing w:before="100" w:beforeAutospacing="1" w:after="100" w:afterAutospacing="1" w:line="0" w:lineRule="atLeast"/>
                    <w:jc w:val="center"/>
                    <w:rPr>
                      <w:rFonts w:hint="default" w:ascii="Times New Roman" w:hAnsi="Times New Roman" w:cs="Times New Roman"/>
                      <w:color w:val="auto"/>
                      <w:szCs w:val="21"/>
                    </w:rPr>
                  </w:pPr>
                  <w:r>
                    <w:rPr>
                      <w:rFonts w:hint="default" w:ascii="Times New Roman" w:hAnsi="Times New Roman" w:cs="Times New Roman"/>
                      <w:color w:val="auto"/>
                      <w:szCs w:val="21"/>
                    </w:rPr>
                    <w:t>是</w:t>
                  </w:r>
                </w:p>
              </w:tc>
              <w:tc>
                <w:tcPr>
                  <w:tcW w:w="463" w:type="pct"/>
                  <w:vAlign w:val="center"/>
                </w:tcPr>
                <w:p w14:paraId="7651C00E">
                  <w:pPr>
                    <w:spacing w:before="100" w:beforeAutospacing="1" w:after="100" w:afterAutospacing="1" w:line="0" w:lineRule="atLeast"/>
                    <w:jc w:val="center"/>
                    <w:rPr>
                      <w:rFonts w:hint="default" w:ascii="Times New Roman" w:hAnsi="Times New Roman" w:cs="Times New Roman"/>
                      <w:color w:val="auto"/>
                      <w:szCs w:val="21"/>
                    </w:rPr>
                  </w:pPr>
                  <w:r>
                    <w:rPr>
                      <w:rFonts w:hint="eastAsia" w:cs="Times New Roman"/>
                      <w:color w:val="auto"/>
                      <w:szCs w:val="21"/>
                      <w:lang w:val="en-US" w:eastAsia="zh-CN"/>
                    </w:rPr>
                    <w:t>200</w:t>
                  </w:r>
                </w:p>
              </w:tc>
              <w:tc>
                <w:tcPr>
                  <w:tcW w:w="570" w:type="pct"/>
                  <w:vAlign w:val="center"/>
                </w:tcPr>
                <w:p w14:paraId="4A425629">
                  <w:pPr>
                    <w:spacing w:before="100" w:beforeAutospacing="1" w:after="100" w:afterAutospacing="1" w:line="0" w:lineRule="atLeast"/>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1.02</w:t>
                  </w:r>
                </w:p>
              </w:tc>
              <w:tc>
                <w:tcPr>
                  <w:tcW w:w="447" w:type="pct"/>
                  <w:vAlign w:val="center"/>
                </w:tcPr>
                <w:p w14:paraId="3FA00914">
                  <w:pPr>
                    <w:spacing w:before="100" w:beforeAutospacing="1" w:after="100" w:afterAutospacing="1" w:line="0" w:lineRule="atLeast"/>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4.43</w:t>
                  </w:r>
                </w:p>
              </w:tc>
            </w:tr>
          </w:tbl>
          <w:p w14:paraId="3435BCFA">
            <w:pPr>
              <w:pStyle w:val="124"/>
              <w:keepNext w:val="0"/>
              <w:keepLines w:val="0"/>
              <w:pageBreakBefore w:val="0"/>
              <w:suppressLineNumbers w:val="0"/>
              <w:kinsoku/>
              <w:overflowPunct/>
              <w:topLinePunct w:val="0"/>
              <w:bidi w:val="0"/>
              <w:spacing w:before="0" w:beforeAutospacing="0" w:after="0" w:afterAutospacing="0" w:line="360" w:lineRule="auto"/>
              <w:ind w:left="0" w:leftChars="0" w:right="0" w:firstLine="0" w:firstLineChars="0"/>
              <w:rPr>
                <w:rFonts w:hint="default" w:ascii="Times New Roman" w:hAnsi="Times New Roman" w:eastAsia="宋体"/>
                <w:color w:val="auto"/>
                <w:sz w:val="21"/>
                <w:szCs w:val="21"/>
              </w:rPr>
            </w:pPr>
          </w:p>
          <w:p w14:paraId="54C4B93B">
            <w:pPr>
              <w:pStyle w:val="257"/>
              <w:keepNext w:val="0"/>
              <w:keepLines w:val="0"/>
              <w:pageBreakBefore w:val="0"/>
              <w:suppressLineNumbers w:val="0"/>
              <w:kinsoku/>
              <w:overflowPunct/>
              <w:topLinePunct w:val="0"/>
              <w:autoSpaceDE w:val="0"/>
              <w:bidi w:val="0"/>
              <w:spacing w:before="0" w:beforeAutospacing="0" w:after="0" w:afterAutospacing="0" w:line="360" w:lineRule="auto"/>
              <w:ind w:left="0" w:right="0"/>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a、</w:t>
            </w:r>
            <w:r>
              <w:rPr>
                <w:rFonts w:hint="default" w:ascii="Times New Roman" w:hAnsi="Times New Roman" w:eastAsia="宋体" w:cs="Times New Roman"/>
                <w:color w:val="auto"/>
                <w:sz w:val="21"/>
                <w:szCs w:val="21"/>
              </w:rPr>
              <w:t>烟气量计算</w:t>
            </w:r>
          </w:p>
          <w:p w14:paraId="65B6F409">
            <w:pPr>
              <w:keepNext w:val="0"/>
              <w:keepLines w:val="0"/>
              <w:pageBreakBefore w:val="0"/>
              <w:suppressLineNumbers w:val="0"/>
              <w:kinsoku/>
              <w:overflowPunct/>
              <w:topLinePunct w:val="0"/>
              <w:bidi w:val="0"/>
              <w:spacing w:before="0" w:beforeAutospacing="0" w:after="0" w:afterAutospacing="0" w:line="360" w:lineRule="auto"/>
              <w:ind w:left="0" w:right="0"/>
              <w:jc w:val="center"/>
              <w:rPr>
                <w:rFonts w:hint="default" w:ascii="Times New Roman" w:hAnsi="Times New Roman" w:eastAsia="宋体"/>
                <w:b/>
                <w:color w:val="auto"/>
                <w:sz w:val="21"/>
                <w:szCs w:val="21"/>
              </w:rPr>
            </w:pPr>
            <w:r>
              <w:rPr>
                <w:rFonts w:hint="default" w:ascii="Times New Roman" w:hAnsi="Times New Roman" w:eastAsia="宋体"/>
                <w:b/>
                <w:color w:val="auto"/>
                <w:sz w:val="21"/>
                <w:szCs w:val="21"/>
              </w:rPr>
              <w:drawing>
                <wp:inline distT="0" distB="0" distL="114300" distR="114300">
                  <wp:extent cx="3706495" cy="363855"/>
                  <wp:effectExtent l="0" t="0" r="8255" b="17145"/>
                  <wp:docPr id="1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2"/>
                          <pic:cNvPicPr>
                            <a:picLocks noChangeAspect="1"/>
                          </pic:cNvPicPr>
                        </pic:nvPicPr>
                        <pic:blipFill>
                          <a:blip r:embed="rId33"/>
                          <a:stretch>
                            <a:fillRect/>
                          </a:stretch>
                        </pic:blipFill>
                        <pic:spPr>
                          <a:xfrm>
                            <a:off x="0" y="0"/>
                            <a:ext cx="3706495" cy="363855"/>
                          </a:xfrm>
                          <a:prstGeom prst="rect">
                            <a:avLst/>
                          </a:prstGeom>
                          <a:noFill/>
                          <a:ln>
                            <a:noFill/>
                          </a:ln>
                        </pic:spPr>
                      </pic:pic>
                    </a:graphicData>
                  </a:graphic>
                </wp:inline>
              </w:drawing>
            </w:r>
          </w:p>
          <w:p w14:paraId="4B5CD73D">
            <w:pPr>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olor w:val="auto"/>
                <w:sz w:val="21"/>
                <w:szCs w:val="21"/>
              </w:rPr>
            </w:pPr>
            <w:r>
              <w:rPr>
                <w:rFonts w:hint="default" w:ascii="Times New Roman" w:hAnsi="Times New Roman" w:eastAsia="宋体"/>
                <w:color w:val="auto"/>
                <w:sz w:val="21"/>
                <w:szCs w:val="21"/>
              </w:rPr>
              <w:t>式中：V</w:t>
            </w:r>
            <w:r>
              <w:rPr>
                <w:rFonts w:hint="default" w:ascii="Times New Roman" w:hAnsi="Times New Roman" w:eastAsia="宋体"/>
                <w:color w:val="auto"/>
                <w:sz w:val="21"/>
                <w:szCs w:val="21"/>
                <w:vertAlign w:val="subscript"/>
              </w:rPr>
              <w:t>0</w:t>
            </w:r>
            <w:r>
              <w:rPr>
                <w:rFonts w:hint="default" w:ascii="Times New Roman" w:hAnsi="Times New Roman" w:eastAsia="宋体"/>
                <w:color w:val="auto"/>
                <w:sz w:val="21"/>
                <w:szCs w:val="21"/>
              </w:rPr>
              <w:t>—理论空气量，m</w:t>
            </w:r>
            <w:r>
              <w:rPr>
                <w:rFonts w:hint="default" w:ascii="Times New Roman" w:hAnsi="Times New Roman" w:eastAsia="宋体"/>
                <w:color w:val="auto"/>
                <w:sz w:val="21"/>
                <w:szCs w:val="21"/>
                <w:vertAlign w:val="superscript"/>
              </w:rPr>
              <w:t>3</w:t>
            </w:r>
            <w:r>
              <w:rPr>
                <w:rFonts w:hint="default" w:ascii="Times New Roman" w:hAnsi="Times New Roman" w:eastAsia="宋体"/>
                <w:color w:val="auto"/>
                <w:sz w:val="21"/>
                <w:szCs w:val="21"/>
              </w:rPr>
              <w:t>/kg；</w:t>
            </w:r>
          </w:p>
          <w:p w14:paraId="4C02C26D">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rPr>
                <w:rFonts w:hint="default" w:ascii="Times New Roman" w:hAnsi="Times New Roman" w:eastAsia="宋体"/>
                <w:b/>
                <w:color w:val="auto"/>
                <w:sz w:val="21"/>
                <w:szCs w:val="21"/>
              </w:rPr>
            </w:pPr>
            <w:r>
              <w:rPr>
                <w:rFonts w:hint="default" w:ascii="Times New Roman" w:hAnsi="Times New Roman" w:eastAsia="宋体"/>
                <w:color w:val="auto"/>
                <w:sz w:val="21"/>
                <w:szCs w:val="21"/>
              </w:rPr>
              <w:t>C</w:t>
            </w:r>
            <w:r>
              <w:rPr>
                <w:rFonts w:hint="default" w:ascii="Times New Roman" w:hAnsi="Times New Roman" w:eastAsia="宋体"/>
                <w:color w:val="auto"/>
                <w:sz w:val="21"/>
                <w:szCs w:val="21"/>
                <w:vertAlign w:val="subscript"/>
              </w:rPr>
              <w:t>ar</w:t>
            </w:r>
            <w:r>
              <w:rPr>
                <w:rFonts w:hint="default" w:ascii="Times New Roman" w:hAnsi="Times New Roman" w:eastAsia="宋体"/>
                <w:color w:val="auto"/>
                <w:sz w:val="21"/>
                <w:szCs w:val="21"/>
              </w:rPr>
              <w:t>—收到基碳的质量分数，%；根据燃料检测报告取</w:t>
            </w:r>
            <w:r>
              <w:rPr>
                <w:rFonts w:hint="eastAsia" w:ascii="Times New Roman" w:hAnsi="Times New Roman" w:eastAsia="宋体"/>
                <w:color w:val="auto"/>
                <w:sz w:val="21"/>
                <w:szCs w:val="21"/>
              </w:rPr>
              <w:t>38.82</w:t>
            </w:r>
            <w:r>
              <w:rPr>
                <w:rFonts w:hint="default" w:ascii="Times New Roman" w:hAnsi="Times New Roman" w:eastAsia="宋体"/>
                <w:color w:val="auto"/>
                <w:sz w:val="21"/>
                <w:szCs w:val="21"/>
              </w:rPr>
              <w:t>。</w:t>
            </w:r>
          </w:p>
          <w:p w14:paraId="3BB66742">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rPr>
                <w:rFonts w:hint="default" w:ascii="Times New Roman" w:hAnsi="Times New Roman" w:eastAsia="宋体"/>
                <w:b/>
                <w:color w:val="auto"/>
                <w:sz w:val="21"/>
                <w:szCs w:val="21"/>
              </w:rPr>
            </w:pPr>
            <w:r>
              <w:rPr>
                <w:rFonts w:hint="default" w:ascii="Times New Roman" w:hAnsi="Times New Roman" w:eastAsia="宋体"/>
                <w:color w:val="auto"/>
                <w:sz w:val="21"/>
                <w:szCs w:val="21"/>
              </w:rPr>
              <w:t>S</w:t>
            </w:r>
            <w:r>
              <w:rPr>
                <w:rFonts w:hint="default" w:ascii="Times New Roman" w:hAnsi="Times New Roman" w:eastAsia="宋体"/>
                <w:color w:val="auto"/>
                <w:sz w:val="21"/>
                <w:szCs w:val="21"/>
                <w:vertAlign w:val="subscript"/>
              </w:rPr>
              <w:t>ar</w:t>
            </w:r>
            <w:r>
              <w:rPr>
                <w:rFonts w:hint="default" w:ascii="Times New Roman" w:hAnsi="Times New Roman" w:eastAsia="宋体"/>
                <w:color w:val="auto"/>
                <w:sz w:val="21"/>
                <w:szCs w:val="21"/>
              </w:rPr>
              <w:t>—收到基硫的质量分数，%；根据燃料检测报告取0.</w:t>
            </w:r>
            <w:r>
              <w:rPr>
                <w:rFonts w:hint="eastAsia" w:ascii="Times New Roman" w:hAnsi="Times New Roman" w:eastAsia="宋体"/>
                <w:color w:val="auto"/>
                <w:sz w:val="21"/>
                <w:szCs w:val="21"/>
              </w:rPr>
              <w:t>07</w:t>
            </w:r>
            <w:r>
              <w:rPr>
                <w:rFonts w:hint="default" w:ascii="Times New Roman" w:hAnsi="Times New Roman" w:eastAsia="宋体"/>
                <w:color w:val="auto"/>
                <w:sz w:val="21"/>
                <w:szCs w:val="21"/>
              </w:rPr>
              <w:t>；</w:t>
            </w:r>
          </w:p>
          <w:p w14:paraId="0F41AB17">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rPr>
                <w:rFonts w:hint="default" w:ascii="Times New Roman" w:hAnsi="Times New Roman" w:eastAsia="宋体"/>
                <w:b/>
                <w:color w:val="auto"/>
                <w:sz w:val="21"/>
                <w:szCs w:val="21"/>
              </w:rPr>
            </w:pPr>
            <w:r>
              <w:rPr>
                <w:rFonts w:hint="default" w:ascii="Times New Roman" w:hAnsi="Times New Roman" w:eastAsia="宋体"/>
                <w:color w:val="auto"/>
                <w:sz w:val="21"/>
                <w:szCs w:val="21"/>
              </w:rPr>
              <w:t>H</w:t>
            </w:r>
            <w:r>
              <w:rPr>
                <w:rFonts w:hint="default" w:ascii="Times New Roman" w:hAnsi="Times New Roman" w:eastAsia="宋体"/>
                <w:color w:val="auto"/>
                <w:sz w:val="21"/>
                <w:szCs w:val="21"/>
                <w:vertAlign w:val="subscript"/>
              </w:rPr>
              <w:t>ar</w:t>
            </w:r>
            <w:r>
              <w:rPr>
                <w:rFonts w:hint="default" w:ascii="Times New Roman" w:hAnsi="Times New Roman" w:eastAsia="宋体"/>
                <w:color w:val="auto"/>
                <w:sz w:val="21"/>
                <w:szCs w:val="21"/>
              </w:rPr>
              <w:t>—收到基氢的质量分数，%；根据燃料检测报告取</w:t>
            </w:r>
            <w:r>
              <w:rPr>
                <w:rFonts w:hint="eastAsia" w:ascii="Times New Roman" w:hAnsi="Times New Roman" w:eastAsia="宋体"/>
                <w:color w:val="auto"/>
                <w:sz w:val="21"/>
                <w:szCs w:val="21"/>
              </w:rPr>
              <w:t>4.38</w:t>
            </w:r>
            <w:r>
              <w:rPr>
                <w:rFonts w:hint="default" w:ascii="Times New Roman" w:hAnsi="Times New Roman" w:eastAsia="宋体"/>
                <w:color w:val="auto"/>
                <w:sz w:val="21"/>
                <w:szCs w:val="21"/>
              </w:rPr>
              <w:t>；</w:t>
            </w:r>
          </w:p>
          <w:p w14:paraId="363C98AC">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rPr>
                <w:rFonts w:hint="default" w:ascii="Times New Roman" w:hAnsi="Times New Roman" w:eastAsia="宋体"/>
                <w:color w:val="auto"/>
                <w:sz w:val="21"/>
                <w:szCs w:val="21"/>
              </w:rPr>
            </w:pPr>
            <w:r>
              <w:rPr>
                <w:rFonts w:hint="default" w:ascii="Times New Roman" w:hAnsi="Times New Roman" w:eastAsia="宋体"/>
                <w:color w:val="auto"/>
                <w:sz w:val="21"/>
                <w:szCs w:val="21"/>
              </w:rPr>
              <w:t>O</w:t>
            </w:r>
            <w:r>
              <w:rPr>
                <w:rFonts w:hint="default" w:ascii="Times New Roman" w:hAnsi="Times New Roman" w:eastAsia="宋体"/>
                <w:color w:val="auto"/>
                <w:sz w:val="21"/>
                <w:szCs w:val="21"/>
                <w:vertAlign w:val="subscript"/>
              </w:rPr>
              <w:t>ar</w:t>
            </w:r>
            <w:r>
              <w:rPr>
                <w:rFonts w:hint="default" w:ascii="Times New Roman" w:hAnsi="Times New Roman" w:eastAsia="宋体"/>
                <w:color w:val="auto"/>
                <w:sz w:val="21"/>
                <w:szCs w:val="21"/>
              </w:rPr>
              <w:t>—收到基氧的质量分数，%；根据燃料检测报告取</w:t>
            </w:r>
            <w:r>
              <w:rPr>
                <w:rFonts w:hint="eastAsia" w:ascii="Times New Roman" w:hAnsi="Times New Roman" w:eastAsia="宋体"/>
                <w:color w:val="auto"/>
                <w:sz w:val="21"/>
                <w:szCs w:val="21"/>
              </w:rPr>
              <w:t>33.13</w:t>
            </w:r>
            <w:r>
              <w:rPr>
                <w:rFonts w:hint="default" w:ascii="Times New Roman" w:hAnsi="Times New Roman" w:eastAsia="宋体"/>
                <w:color w:val="auto"/>
                <w:sz w:val="21"/>
                <w:szCs w:val="21"/>
              </w:rPr>
              <w:t>；</w:t>
            </w:r>
          </w:p>
          <w:p w14:paraId="43188E75">
            <w:pPr>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olor w:val="auto"/>
                <w:sz w:val="21"/>
                <w:szCs w:val="21"/>
              </w:rPr>
            </w:pPr>
            <w:r>
              <w:rPr>
                <w:rFonts w:hint="default" w:ascii="Times New Roman" w:hAnsi="Times New Roman" w:eastAsia="宋体"/>
                <w:color w:val="auto"/>
                <w:sz w:val="21"/>
                <w:szCs w:val="21"/>
              </w:rPr>
              <w:t>经计算，理论空气量V</w:t>
            </w:r>
            <w:r>
              <w:rPr>
                <w:rFonts w:hint="default" w:ascii="Times New Roman" w:hAnsi="Times New Roman" w:eastAsia="宋体"/>
                <w:color w:val="auto"/>
                <w:sz w:val="21"/>
                <w:szCs w:val="21"/>
                <w:vertAlign w:val="subscript"/>
              </w:rPr>
              <w:t>0</w:t>
            </w:r>
            <w:r>
              <w:rPr>
                <w:rFonts w:hint="default" w:ascii="Times New Roman" w:hAnsi="Times New Roman" w:eastAsia="宋体"/>
                <w:color w:val="auto"/>
                <w:sz w:val="21"/>
                <w:szCs w:val="21"/>
              </w:rPr>
              <w:t>为</w:t>
            </w:r>
            <w:r>
              <w:rPr>
                <w:rFonts w:hint="eastAsia" w:ascii="Times New Roman" w:hAnsi="Times New Roman" w:eastAsia="宋体"/>
                <w:color w:val="auto"/>
                <w:sz w:val="21"/>
                <w:szCs w:val="21"/>
              </w:rPr>
              <w:t>3.51</w:t>
            </w:r>
            <w:r>
              <w:rPr>
                <w:rFonts w:hint="default" w:ascii="Times New Roman" w:hAnsi="Times New Roman" w:eastAsia="宋体"/>
                <w:color w:val="auto"/>
                <w:sz w:val="21"/>
                <w:szCs w:val="21"/>
              </w:rPr>
              <w:t>m</w:t>
            </w:r>
            <w:r>
              <w:rPr>
                <w:rFonts w:hint="default" w:ascii="Times New Roman" w:hAnsi="Times New Roman" w:eastAsia="宋体"/>
                <w:color w:val="auto"/>
                <w:sz w:val="21"/>
                <w:szCs w:val="21"/>
                <w:vertAlign w:val="superscript"/>
              </w:rPr>
              <w:t>3</w:t>
            </w:r>
            <w:r>
              <w:rPr>
                <w:rFonts w:hint="default" w:ascii="Times New Roman" w:hAnsi="Times New Roman" w:eastAsia="宋体"/>
                <w:color w:val="auto"/>
                <w:sz w:val="21"/>
                <w:szCs w:val="21"/>
              </w:rPr>
              <w:t>/kg。</w:t>
            </w:r>
          </w:p>
          <w:p w14:paraId="3BEFAAFF">
            <w:pPr>
              <w:keepNext w:val="0"/>
              <w:keepLines w:val="0"/>
              <w:pageBreakBefore w:val="0"/>
              <w:suppressLineNumbers w:val="0"/>
              <w:kinsoku/>
              <w:overflowPunct/>
              <w:topLinePunct w:val="0"/>
              <w:autoSpaceDE w:val="0"/>
              <w:autoSpaceDN w:val="0"/>
              <w:bidi w:val="0"/>
              <w:spacing w:before="0" w:beforeAutospacing="0" w:after="0" w:afterAutospacing="0" w:line="360" w:lineRule="auto"/>
              <w:ind w:left="0" w:right="0" w:firstLine="420" w:firstLineChars="200"/>
              <w:contextualSpacing/>
              <w:rPr>
                <w:rFonts w:hint="default" w:ascii="Times New Roman" w:hAnsi="Times New Roman" w:eastAsia="宋体"/>
                <w:color w:val="auto"/>
                <w:sz w:val="21"/>
                <w:szCs w:val="21"/>
              </w:rPr>
            </w:pPr>
            <w:r>
              <w:rPr>
                <w:rFonts w:hint="default" w:ascii="Times New Roman" w:hAnsi="Times New Roman" w:eastAsia="宋体"/>
                <w:color w:val="auto"/>
                <w:sz w:val="21"/>
                <w:szCs w:val="21"/>
              </w:rPr>
              <w:t>烟气排放量计算公式如下：</w:t>
            </w:r>
          </w:p>
          <w:p w14:paraId="541B119F">
            <w:pPr>
              <w:keepNext w:val="0"/>
              <w:keepLines w:val="0"/>
              <w:pageBreakBefore w:val="0"/>
              <w:suppressLineNumbers w:val="0"/>
              <w:kinsoku/>
              <w:overflowPunct/>
              <w:topLinePunct w:val="0"/>
              <w:autoSpaceDE w:val="0"/>
              <w:bidi w:val="0"/>
              <w:adjustRightInd w:val="0"/>
              <w:snapToGrid w:val="0"/>
              <w:spacing w:before="0" w:beforeAutospacing="0" w:after="0" w:afterAutospacing="0" w:line="360" w:lineRule="auto"/>
              <w:ind w:left="0" w:right="0"/>
              <w:jc w:val="center"/>
              <w:rPr>
                <w:rFonts w:hint="default" w:ascii="Times New Roman" w:hAnsi="Times New Roman" w:eastAsia="宋体"/>
                <w:b/>
                <w:color w:val="auto"/>
                <w:sz w:val="21"/>
                <w:szCs w:val="21"/>
              </w:rPr>
            </w:pPr>
            <w:r>
              <w:rPr>
                <w:rFonts w:hint="default" w:ascii="Times New Roman" w:hAnsi="Times New Roman" w:eastAsia="宋体"/>
                <w:color w:val="auto"/>
                <w:sz w:val="21"/>
                <w:szCs w:val="21"/>
              </w:rPr>
              <w:drawing>
                <wp:inline distT="0" distB="0" distL="0" distR="0">
                  <wp:extent cx="2857500" cy="447675"/>
                  <wp:effectExtent l="0" t="0" r="0" b="9525"/>
                  <wp:docPr id="49" name="图片 49" descr="C:\Users\ADMINI~1\AppData\Local\Temp\ksohtml4536\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C:\Users\ADMINI~1\AppData\Local\Temp\ksohtml4536\wps4.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2857500" cy="447675"/>
                          </a:xfrm>
                          <a:prstGeom prst="rect">
                            <a:avLst/>
                          </a:prstGeom>
                          <a:noFill/>
                          <a:ln>
                            <a:noFill/>
                          </a:ln>
                        </pic:spPr>
                      </pic:pic>
                    </a:graphicData>
                  </a:graphic>
                </wp:inline>
              </w:drawing>
            </w:r>
            <w:r>
              <w:rPr>
                <w:rFonts w:hint="default" w:ascii="Times New Roman" w:hAnsi="Times New Roman" w:eastAsia="宋体"/>
                <w:b/>
                <w:color w:val="auto"/>
                <w:sz w:val="21"/>
                <w:szCs w:val="21"/>
              </w:rPr>
              <w:t xml:space="preserve"> </w:t>
            </w:r>
          </w:p>
          <w:p w14:paraId="4C0EB702">
            <w:pPr>
              <w:keepNext w:val="0"/>
              <w:keepLines w:val="0"/>
              <w:pageBreakBefore w:val="0"/>
              <w:suppressLineNumbers w:val="0"/>
              <w:kinsoku/>
              <w:overflowPunct/>
              <w:topLinePunct w:val="0"/>
              <w:autoSpaceDE w:val="0"/>
              <w:bidi w:val="0"/>
              <w:adjustRightInd w:val="0"/>
              <w:snapToGrid w:val="0"/>
              <w:spacing w:before="0" w:beforeAutospacing="0" w:after="0" w:afterAutospacing="0" w:line="360" w:lineRule="auto"/>
              <w:ind w:left="0" w:right="0"/>
              <w:jc w:val="center"/>
              <w:rPr>
                <w:rFonts w:hint="default" w:ascii="Times New Roman" w:hAnsi="Times New Roman" w:eastAsia="宋体"/>
                <w:b/>
                <w:color w:val="auto"/>
                <w:sz w:val="21"/>
                <w:szCs w:val="21"/>
              </w:rPr>
            </w:pPr>
            <w:r>
              <w:rPr>
                <w:rFonts w:hint="default" w:ascii="Times New Roman" w:hAnsi="Times New Roman" w:eastAsia="宋体"/>
                <w:color w:val="auto"/>
                <w:sz w:val="21"/>
                <w:szCs w:val="21"/>
              </w:rPr>
              <w:drawing>
                <wp:inline distT="0" distB="0" distL="0" distR="0">
                  <wp:extent cx="1866900" cy="847725"/>
                  <wp:effectExtent l="0" t="0" r="0" b="9525"/>
                  <wp:docPr id="110" name="图片 110" descr="C:\Users\ADMINI~1\AppData\Local\Temp\ksohtml4536\wps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C:\Users\ADMINI~1\AppData\Local\Temp\ksohtml4536\wps5.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1866900" cy="847725"/>
                          </a:xfrm>
                          <a:prstGeom prst="rect">
                            <a:avLst/>
                          </a:prstGeom>
                          <a:noFill/>
                          <a:ln>
                            <a:noFill/>
                          </a:ln>
                        </pic:spPr>
                      </pic:pic>
                    </a:graphicData>
                  </a:graphic>
                </wp:inline>
              </w:drawing>
            </w:r>
            <w:r>
              <w:rPr>
                <w:rFonts w:hint="default" w:ascii="Times New Roman" w:hAnsi="Times New Roman" w:eastAsia="宋体"/>
                <w:b/>
                <w:color w:val="auto"/>
                <w:sz w:val="21"/>
                <w:szCs w:val="21"/>
              </w:rPr>
              <w:t xml:space="preserve"> </w:t>
            </w:r>
          </w:p>
          <w:p w14:paraId="2E5E0987">
            <w:pPr>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olor w:val="auto"/>
                <w:sz w:val="21"/>
                <w:szCs w:val="21"/>
              </w:rPr>
            </w:pPr>
            <w:r>
              <w:rPr>
                <w:rFonts w:hint="default" w:ascii="Times New Roman" w:hAnsi="Times New Roman" w:eastAsia="宋体"/>
                <w:color w:val="auto"/>
                <w:sz w:val="21"/>
                <w:szCs w:val="21"/>
              </w:rPr>
              <w:t>式中：V</w:t>
            </w:r>
            <w:r>
              <w:rPr>
                <w:rFonts w:hint="default" w:ascii="Times New Roman" w:hAnsi="Times New Roman" w:eastAsia="宋体"/>
                <w:color w:val="auto"/>
                <w:sz w:val="21"/>
                <w:szCs w:val="21"/>
                <w:vertAlign w:val="subscript"/>
              </w:rPr>
              <w:t>RO2</w:t>
            </w:r>
            <w:r>
              <w:rPr>
                <w:rFonts w:hint="default" w:ascii="Times New Roman" w:hAnsi="Times New Roman" w:eastAsia="宋体"/>
                <w:color w:val="auto"/>
                <w:sz w:val="21"/>
                <w:szCs w:val="21"/>
              </w:rPr>
              <w:t>—烟气中二氧化碳（V</w:t>
            </w:r>
            <w:r>
              <w:rPr>
                <w:rFonts w:hint="default" w:ascii="Times New Roman" w:hAnsi="Times New Roman" w:eastAsia="宋体"/>
                <w:color w:val="auto"/>
                <w:sz w:val="21"/>
                <w:szCs w:val="21"/>
                <w:vertAlign w:val="subscript"/>
              </w:rPr>
              <w:t>CO2</w:t>
            </w:r>
            <w:r>
              <w:rPr>
                <w:rFonts w:hint="default" w:ascii="Times New Roman" w:hAnsi="Times New Roman" w:eastAsia="宋体"/>
                <w:color w:val="auto"/>
                <w:sz w:val="21"/>
                <w:szCs w:val="21"/>
              </w:rPr>
              <w:t>）和二氧化硫（V</w:t>
            </w:r>
            <w:r>
              <w:rPr>
                <w:rFonts w:hint="default" w:ascii="Times New Roman" w:hAnsi="Times New Roman" w:eastAsia="宋体"/>
                <w:color w:val="auto"/>
                <w:sz w:val="21"/>
                <w:szCs w:val="21"/>
                <w:vertAlign w:val="subscript"/>
              </w:rPr>
              <w:t>SO2</w:t>
            </w:r>
            <w:r>
              <w:rPr>
                <w:rFonts w:hint="default" w:ascii="Times New Roman" w:hAnsi="Times New Roman" w:eastAsia="宋体"/>
                <w:color w:val="auto"/>
                <w:sz w:val="21"/>
                <w:szCs w:val="21"/>
              </w:rPr>
              <w:t>）容积之和，m</w:t>
            </w:r>
            <w:r>
              <w:rPr>
                <w:rFonts w:hint="default" w:ascii="Times New Roman" w:hAnsi="Times New Roman" w:eastAsia="宋体"/>
                <w:color w:val="auto"/>
                <w:sz w:val="21"/>
                <w:szCs w:val="21"/>
                <w:vertAlign w:val="superscript"/>
              </w:rPr>
              <w:t>3</w:t>
            </w:r>
            <w:r>
              <w:rPr>
                <w:rFonts w:hint="default" w:ascii="Times New Roman" w:hAnsi="Times New Roman" w:eastAsia="宋体"/>
                <w:color w:val="auto"/>
                <w:sz w:val="21"/>
                <w:szCs w:val="21"/>
              </w:rPr>
              <w:t>/kg；</w:t>
            </w:r>
          </w:p>
          <w:p w14:paraId="52F3E1F5">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jc w:val="left"/>
              <w:rPr>
                <w:rFonts w:hint="default" w:ascii="Times New Roman" w:hAnsi="Times New Roman" w:eastAsia="宋体"/>
                <w:b/>
                <w:color w:val="auto"/>
                <w:sz w:val="21"/>
                <w:szCs w:val="21"/>
              </w:rPr>
            </w:pPr>
            <w:r>
              <w:rPr>
                <w:rFonts w:hint="default" w:ascii="Times New Roman" w:hAnsi="Times New Roman" w:eastAsia="宋体"/>
                <w:color w:val="auto"/>
                <w:sz w:val="21"/>
                <w:szCs w:val="21"/>
              </w:rPr>
              <w:t>C</w:t>
            </w:r>
            <w:r>
              <w:rPr>
                <w:rFonts w:hint="default" w:ascii="Times New Roman" w:hAnsi="Times New Roman" w:eastAsia="宋体"/>
                <w:color w:val="auto"/>
                <w:sz w:val="21"/>
                <w:szCs w:val="21"/>
                <w:vertAlign w:val="subscript"/>
              </w:rPr>
              <w:t>ar</w:t>
            </w:r>
            <w:r>
              <w:rPr>
                <w:rFonts w:hint="default" w:ascii="Times New Roman" w:hAnsi="Times New Roman" w:eastAsia="宋体"/>
                <w:color w:val="auto"/>
                <w:sz w:val="21"/>
                <w:szCs w:val="21"/>
              </w:rPr>
              <w:t>—收到基碳的质量分数，%；根据燃料检测报告取3</w:t>
            </w:r>
            <w:r>
              <w:rPr>
                <w:rFonts w:hint="eastAsia" w:ascii="Times New Roman" w:hAnsi="Times New Roman" w:eastAsia="宋体"/>
                <w:color w:val="auto"/>
                <w:sz w:val="21"/>
                <w:szCs w:val="21"/>
              </w:rPr>
              <w:t>8.82</w:t>
            </w:r>
            <w:r>
              <w:rPr>
                <w:rFonts w:hint="default" w:ascii="Times New Roman" w:hAnsi="Times New Roman" w:eastAsia="宋体"/>
                <w:color w:val="auto"/>
                <w:sz w:val="21"/>
                <w:szCs w:val="21"/>
              </w:rPr>
              <w:t>。</w:t>
            </w:r>
          </w:p>
          <w:p w14:paraId="1B3CF3BD">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jc w:val="left"/>
              <w:rPr>
                <w:rFonts w:hint="default" w:ascii="Times New Roman" w:hAnsi="Times New Roman" w:eastAsia="宋体"/>
                <w:color w:val="auto"/>
                <w:sz w:val="21"/>
                <w:szCs w:val="21"/>
              </w:rPr>
            </w:pPr>
            <w:r>
              <w:rPr>
                <w:rFonts w:hint="default" w:ascii="Times New Roman" w:hAnsi="Times New Roman" w:eastAsia="宋体"/>
                <w:color w:val="auto"/>
                <w:sz w:val="21"/>
                <w:szCs w:val="21"/>
              </w:rPr>
              <w:t>S</w:t>
            </w:r>
            <w:r>
              <w:rPr>
                <w:rFonts w:hint="default" w:ascii="Times New Roman" w:hAnsi="Times New Roman" w:eastAsia="宋体"/>
                <w:color w:val="auto"/>
                <w:sz w:val="21"/>
                <w:szCs w:val="21"/>
                <w:vertAlign w:val="subscript"/>
              </w:rPr>
              <w:t>ar</w:t>
            </w:r>
            <w:r>
              <w:rPr>
                <w:rFonts w:hint="default" w:ascii="Times New Roman" w:hAnsi="Times New Roman" w:eastAsia="宋体"/>
                <w:color w:val="auto"/>
                <w:sz w:val="21"/>
                <w:szCs w:val="21"/>
              </w:rPr>
              <w:t>—收到基硫的质量分数，%；根据燃料检测报告取0.</w:t>
            </w:r>
            <w:r>
              <w:rPr>
                <w:rFonts w:hint="eastAsia" w:ascii="Times New Roman" w:hAnsi="Times New Roman" w:eastAsia="宋体"/>
                <w:color w:val="auto"/>
                <w:sz w:val="21"/>
                <w:szCs w:val="21"/>
              </w:rPr>
              <w:t>07</w:t>
            </w:r>
            <w:r>
              <w:rPr>
                <w:rFonts w:hint="default" w:ascii="Times New Roman" w:hAnsi="Times New Roman" w:eastAsia="宋体"/>
                <w:color w:val="auto"/>
                <w:sz w:val="21"/>
                <w:szCs w:val="21"/>
              </w:rPr>
              <w:t>；</w:t>
            </w:r>
          </w:p>
          <w:p w14:paraId="3D2957A7">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jc w:val="left"/>
              <w:rPr>
                <w:rFonts w:hint="default" w:ascii="Times New Roman" w:hAnsi="Times New Roman" w:eastAsia="宋体"/>
                <w:color w:val="auto"/>
                <w:sz w:val="21"/>
                <w:szCs w:val="21"/>
              </w:rPr>
            </w:pPr>
            <w:r>
              <w:rPr>
                <w:rFonts w:hint="default" w:ascii="Times New Roman" w:hAnsi="Times New Roman" w:eastAsia="宋体"/>
                <w:color w:val="auto"/>
                <w:sz w:val="21"/>
                <w:szCs w:val="21"/>
              </w:rPr>
              <w:t>V</w:t>
            </w:r>
            <w:r>
              <w:rPr>
                <w:rFonts w:hint="default" w:ascii="Times New Roman" w:hAnsi="Times New Roman" w:eastAsia="宋体"/>
                <w:color w:val="auto"/>
                <w:sz w:val="21"/>
                <w:szCs w:val="21"/>
                <w:vertAlign w:val="subscript"/>
              </w:rPr>
              <w:t>N2</w:t>
            </w:r>
            <w:r>
              <w:rPr>
                <w:rFonts w:hint="default" w:ascii="Times New Roman" w:hAnsi="Times New Roman" w:eastAsia="宋体"/>
                <w:color w:val="auto"/>
                <w:sz w:val="21"/>
                <w:szCs w:val="21"/>
              </w:rPr>
              <w:t>—烟气中氮气量，m</w:t>
            </w:r>
            <w:r>
              <w:rPr>
                <w:rFonts w:hint="default" w:ascii="Times New Roman" w:hAnsi="Times New Roman" w:eastAsia="宋体"/>
                <w:color w:val="auto"/>
                <w:sz w:val="21"/>
                <w:szCs w:val="21"/>
                <w:vertAlign w:val="superscript"/>
              </w:rPr>
              <w:t>3</w:t>
            </w:r>
            <w:r>
              <w:rPr>
                <w:rFonts w:hint="default" w:ascii="Times New Roman" w:hAnsi="Times New Roman" w:eastAsia="宋体"/>
                <w:color w:val="auto"/>
                <w:sz w:val="21"/>
                <w:szCs w:val="21"/>
              </w:rPr>
              <w:t>/kg；</w:t>
            </w:r>
          </w:p>
          <w:p w14:paraId="4D28D9A2">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jc w:val="left"/>
              <w:rPr>
                <w:rFonts w:hint="default" w:ascii="Times New Roman" w:hAnsi="Times New Roman" w:eastAsia="宋体"/>
                <w:color w:val="auto"/>
                <w:sz w:val="21"/>
                <w:szCs w:val="21"/>
              </w:rPr>
            </w:pPr>
            <w:r>
              <w:rPr>
                <w:rFonts w:hint="default" w:ascii="Times New Roman" w:hAnsi="Times New Roman" w:eastAsia="宋体"/>
                <w:color w:val="auto"/>
                <w:sz w:val="21"/>
                <w:szCs w:val="21"/>
              </w:rPr>
              <w:t>N</w:t>
            </w:r>
            <w:r>
              <w:rPr>
                <w:rFonts w:hint="default" w:ascii="Times New Roman" w:hAnsi="Times New Roman" w:eastAsia="宋体"/>
                <w:color w:val="auto"/>
                <w:sz w:val="21"/>
                <w:szCs w:val="21"/>
                <w:vertAlign w:val="subscript"/>
              </w:rPr>
              <w:t>ar</w:t>
            </w:r>
            <w:r>
              <w:rPr>
                <w:rFonts w:hint="default" w:ascii="Times New Roman" w:hAnsi="Times New Roman" w:eastAsia="宋体"/>
                <w:color w:val="auto"/>
                <w:sz w:val="21"/>
                <w:szCs w:val="21"/>
              </w:rPr>
              <w:t>—收到基氮的质量分数，%；根据燃料检测报告取0.</w:t>
            </w:r>
            <w:r>
              <w:rPr>
                <w:rFonts w:hint="eastAsia" w:ascii="Times New Roman" w:hAnsi="Times New Roman" w:eastAsia="宋体"/>
                <w:color w:val="auto"/>
                <w:sz w:val="21"/>
                <w:szCs w:val="21"/>
              </w:rPr>
              <w:t>27</w:t>
            </w:r>
            <w:r>
              <w:rPr>
                <w:rFonts w:hint="default" w:ascii="Times New Roman" w:hAnsi="Times New Roman" w:eastAsia="宋体"/>
                <w:color w:val="auto"/>
                <w:sz w:val="21"/>
                <w:szCs w:val="21"/>
              </w:rPr>
              <w:t>。</w:t>
            </w:r>
          </w:p>
          <w:p w14:paraId="4FDA476B">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jc w:val="left"/>
              <w:rPr>
                <w:rFonts w:hint="default" w:ascii="Times New Roman" w:hAnsi="Times New Roman" w:eastAsia="宋体"/>
                <w:color w:val="auto"/>
                <w:sz w:val="21"/>
                <w:szCs w:val="21"/>
              </w:rPr>
            </w:pPr>
            <w:r>
              <w:rPr>
                <w:rFonts w:hint="default" w:ascii="Times New Roman" w:hAnsi="Times New Roman" w:eastAsia="宋体"/>
                <w:color w:val="auto"/>
                <w:sz w:val="21"/>
                <w:szCs w:val="21"/>
              </w:rPr>
              <w:t>V</w:t>
            </w:r>
            <w:r>
              <w:rPr>
                <w:rFonts w:hint="default" w:ascii="Times New Roman" w:hAnsi="Times New Roman" w:eastAsia="宋体"/>
                <w:color w:val="auto"/>
                <w:sz w:val="21"/>
                <w:szCs w:val="21"/>
                <w:vertAlign w:val="subscript"/>
              </w:rPr>
              <w:t>0</w:t>
            </w:r>
            <w:r>
              <w:rPr>
                <w:rFonts w:hint="default" w:ascii="Times New Roman" w:hAnsi="Times New Roman" w:eastAsia="宋体"/>
                <w:color w:val="auto"/>
                <w:sz w:val="21"/>
                <w:szCs w:val="21"/>
              </w:rPr>
              <w:t>—理论空气量，m</w:t>
            </w:r>
            <w:r>
              <w:rPr>
                <w:rFonts w:hint="default" w:ascii="Times New Roman" w:hAnsi="Times New Roman" w:eastAsia="宋体"/>
                <w:color w:val="auto"/>
                <w:sz w:val="21"/>
                <w:szCs w:val="21"/>
                <w:vertAlign w:val="superscript"/>
              </w:rPr>
              <w:t>3</w:t>
            </w:r>
            <w:r>
              <w:rPr>
                <w:rFonts w:hint="default" w:ascii="Times New Roman" w:hAnsi="Times New Roman" w:eastAsia="宋体"/>
                <w:color w:val="auto"/>
                <w:sz w:val="21"/>
                <w:szCs w:val="21"/>
              </w:rPr>
              <w:t>/kg；</w:t>
            </w:r>
          </w:p>
          <w:p w14:paraId="5F72B31B">
            <w:pPr>
              <w:keepNext w:val="0"/>
              <w:keepLines w:val="0"/>
              <w:pageBreakBefore w:val="0"/>
              <w:suppressLineNumbers w:val="0"/>
              <w:kinsoku/>
              <w:overflowPunct/>
              <w:topLinePunct w:val="0"/>
              <w:bidi w:val="0"/>
              <w:spacing w:before="0" w:beforeAutospacing="0" w:after="0" w:afterAutospacing="0" w:line="360" w:lineRule="auto"/>
              <w:ind w:left="0" w:right="0" w:firstLine="1050" w:firstLineChars="500"/>
              <w:jc w:val="left"/>
              <w:rPr>
                <w:rFonts w:hint="default" w:ascii="Times New Roman" w:hAnsi="Times New Roman" w:eastAsia="宋体"/>
                <w:color w:val="auto"/>
                <w:sz w:val="21"/>
                <w:szCs w:val="21"/>
              </w:rPr>
            </w:pPr>
            <w:r>
              <w:rPr>
                <w:rFonts w:hint="default" w:ascii="Times New Roman" w:hAnsi="Times New Roman" w:eastAsia="宋体"/>
                <w:color w:val="auto"/>
                <w:sz w:val="21"/>
                <w:szCs w:val="21"/>
              </w:rPr>
              <w:t>V</w:t>
            </w:r>
            <w:r>
              <w:rPr>
                <w:rFonts w:hint="default" w:ascii="Times New Roman" w:hAnsi="Times New Roman" w:eastAsia="宋体"/>
                <w:color w:val="auto"/>
                <w:sz w:val="21"/>
                <w:szCs w:val="21"/>
                <w:vertAlign w:val="subscript"/>
              </w:rPr>
              <w:t>g</w:t>
            </w:r>
            <w:r>
              <w:rPr>
                <w:rFonts w:hint="default" w:ascii="Times New Roman" w:hAnsi="Times New Roman" w:eastAsia="宋体"/>
                <w:color w:val="auto"/>
                <w:sz w:val="21"/>
                <w:szCs w:val="21"/>
              </w:rPr>
              <w:t>—干烟气排放量，m</w:t>
            </w:r>
            <w:r>
              <w:rPr>
                <w:rFonts w:hint="default" w:ascii="Times New Roman" w:hAnsi="Times New Roman" w:eastAsia="宋体"/>
                <w:color w:val="auto"/>
                <w:sz w:val="21"/>
                <w:szCs w:val="21"/>
                <w:vertAlign w:val="superscript"/>
              </w:rPr>
              <w:t>3</w:t>
            </w:r>
            <w:r>
              <w:rPr>
                <w:rFonts w:hint="default" w:ascii="Times New Roman" w:hAnsi="Times New Roman" w:eastAsia="宋体"/>
                <w:color w:val="auto"/>
                <w:sz w:val="21"/>
                <w:szCs w:val="21"/>
              </w:rPr>
              <w:t>/kg；</w:t>
            </w:r>
          </w:p>
          <w:p w14:paraId="0CA3ADD4">
            <w:pPr>
              <w:pStyle w:val="39"/>
              <w:keepNext w:val="0"/>
              <w:keepLines w:val="0"/>
              <w:suppressLineNumbers w:val="0"/>
              <w:spacing w:before="0" w:beforeAutospacing="0" w:after="0" w:afterAutospacing="0" w:line="360" w:lineRule="auto"/>
              <w:ind w:left="0" w:right="0" w:firstLine="1050" w:firstLineChars="500"/>
              <w:rPr>
                <w:rFonts w:hint="default" w:ascii="Times New Roman" w:hAnsi="Times New Roman" w:eastAsia="宋体" w:cs="Times New Roman"/>
                <w:color w:val="auto"/>
                <w:sz w:val="21"/>
                <w:szCs w:val="21"/>
              </w:rPr>
            </w:pPr>
            <w:r>
              <w:rPr>
                <w:rFonts w:hint="default" w:ascii="Times New Roman" w:hAnsi="Times New Roman" w:eastAsia="宋体"/>
                <w:color w:val="auto"/>
                <w:sz w:val="21"/>
                <w:szCs w:val="21"/>
              </w:rPr>
              <w:t>α—过量空气系数，</w:t>
            </w:r>
            <w:r>
              <w:rPr>
                <w:rFonts w:hint="eastAsia" w:ascii="Times New Roman" w:hAnsi="Times New Roman" w:eastAsia="宋体" w:cs="Times New Roman"/>
                <w:color w:val="auto"/>
                <w:sz w:val="21"/>
                <w:szCs w:val="21"/>
                <w:lang w:val="en-US" w:eastAsia="zh-CN"/>
              </w:rPr>
              <w:t>燃生物质参考燃煤锅炉取</w:t>
            </w:r>
            <w:r>
              <w:rPr>
                <w:rFonts w:hint="default" w:ascii="Times New Roman" w:hAnsi="Times New Roman" w:eastAsia="宋体" w:cs="Times New Roman"/>
                <w:color w:val="auto"/>
                <w:sz w:val="21"/>
                <w:szCs w:val="21"/>
                <w:lang w:val="en-US" w:eastAsia="zh-CN"/>
              </w:rPr>
              <w:t>1.75</w:t>
            </w:r>
          </w:p>
          <w:p w14:paraId="7E1181A8">
            <w:pPr>
              <w:keepNext w:val="0"/>
              <w:keepLines w:val="0"/>
              <w:pageBreakBefore w:val="0"/>
              <w:suppressLineNumbers w:val="0"/>
              <w:kinsoku/>
              <w:overflowPunct/>
              <w:topLinePunct w:val="0"/>
              <w:bidi w:val="0"/>
              <w:adjustRightInd w:val="0"/>
              <w:snapToGrid w:val="0"/>
              <w:spacing w:before="0" w:beforeAutospacing="0" w:after="0" w:afterAutospacing="0" w:line="360" w:lineRule="auto"/>
              <w:ind w:left="0" w:right="0" w:firstLine="420" w:firstLineChars="200"/>
              <w:rPr>
                <w:rFonts w:hint="default" w:ascii="Times New Roman" w:hAnsi="Times New Roman" w:eastAsia="宋体"/>
                <w:color w:val="auto"/>
                <w:sz w:val="21"/>
                <w:szCs w:val="21"/>
              </w:rPr>
            </w:pPr>
            <w:r>
              <w:rPr>
                <w:rFonts w:hint="default" w:ascii="Times New Roman" w:hAnsi="Times New Roman" w:eastAsia="宋体"/>
                <w:color w:val="auto"/>
                <w:sz w:val="21"/>
                <w:szCs w:val="21"/>
              </w:rPr>
              <w:t>经计算，干烟气排放量V</w:t>
            </w:r>
            <w:r>
              <w:rPr>
                <w:rFonts w:hint="default" w:ascii="Times New Roman" w:hAnsi="Times New Roman" w:eastAsia="宋体"/>
                <w:color w:val="auto"/>
                <w:sz w:val="21"/>
                <w:szCs w:val="21"/>
                <w:vertAlign w:val="subscript"/>
              </w:rPr>
              <w:t>g</w:t>
            </w:r>
            <w:r>
              <w:rPr>
                <w:rFonts w:hint="default" w:ascii="Times New Roman" w:hAnsi="Times New Roman" w:eastAsia="宋体"/>
                <w:color w:val="auto"/>
                <w:sz w:val="21"/>
                <w:szCs w:val="21"/>
              </w:rPr>
              <w:t>为</w:t>
            </w:r>
            <w:r>
              <w:rPr>
                <w:rFonts w:hint="eastAsia"/>
                <w:color w:val="auto"/>
                <w:sz w:val="21"/>
                <w:szCs w:val="21"/>
                <w:lang w:val="en-US" w:eastAsia="zh-CN"/>
              </w:rPr>
              <w:t>6.13</w:t>
            </w:r>
            <w:r>
              <w:rPr>
                <w:rFonts w:hint="default" w:ascii="Times New Roman" w:hAnsi="Times New Roman" w:eastAsia="宋体"/>
                <w:color w:val="auto"/>
                <w:sz w:val="21"/>
                <w:szCs w:val="21"/>
              </w:rPr>
              <w:t>m</w:t>
            </w:r>
            <w:r>
              <w:rPr>
                <w:rFonts w:hint="default" w:ascii="Times New Roman" w:hAnsi="Times New Roman" w:eastAsia="宋体"/>
                <w:color w:val="auto"/>
                <w:sz w:val="21"/>
                <w:szCs w:val="21"/>
                <w:vertAlign w:val="superscript"/>
              </w:rPr>
              <w:t>3</w:t>
            </w:r>
            <w:r>
              <w:rPr>
                <w:rFonts w:hint="default" w:ascii="Times New Roman" w:hAnsi="Times New Roman" w:eastAsia="宋体"/>
                <w:color w:val="auto"/>
                <w:sz w:val="21"/>
                <w:szCs w:val="21"/>
              </w:rPr>
              <w:t>/kg。本项目生物质</w:t>
            </w:r>
            <w:r>
              <w:rPr>
                <w:rFonts w:hint="eastAsia"/>
                <w:color w:val="auto"/>
                <w:sz w:val="21"/>
                <w:szCs w:val="21"/>
                <w:lang w:val="en-US" w:eastAsia="zh-CN"/>
              </w:rPr>
              <w:t>锅</w:t>
            </w:r>
            <w:r>
              <w:rPr>
                <w:rFonts w:hint="default" w:ascii="Times New Roman" w:hAnsi="Times New Roman" w:eastAsia="宋体"/>
                <w:color w:val="auto"/>
                <w:sz w:val="21"/>
                <w:szCs w:val="21"/>
              </w:rPr>
              <w:t>炉燃料消耗量为</w:t>
            </w:r>
            <w:r>
              <w:rPr>
                <w:rFonts w:hint="eastAsia"/>
                <w:color w:val="auto"/>
                <w:sz w:val="21"/>
                <w:szCs w:val="21"/>
                <w:lang w:val="en-US" w:eastAsia="zh-CN"/>
              </w:rPr>
              <w:t>3608.77</w:t>
            </w:r>
            <w:r>
              <w:rPr>
                <w:rFonts w:hint="eastAsia" w:ascii="Times New Roman" w:hAnsi="Times New Roman" w:eastAsia="宋体"/>
                <w:color w:val="auto"/>
                <w:sz w:val="21"/>
                <w:szCs w:val="21"/>
                <w:lang w:val="en-US" w:eastAsia="zh-CN"/>
              </w:rPr>
              <w:t>t</w:t>
            </w:r>
            <w:r>
              <w:rPr>
                <w:rFonts w:hint="default" w:ascii="Times New Roman" w:hAnsi="Times New Roman" w:eastAsia="宋体"/>
                <w:color w:val="auto"/>
                <w:kern w:val="0"/>
                <w:sz w:val="21"/>
                <w:szCs w:val="21"/>
              </w:rPr>
              <w:t>/a，</w:t>
            </w:r>
            <w:r>
              <w:rPr>
                <w:rFonts w:hint="default" w:ascii="Times New Roman" w:hAnsi="Times New Roman" w:eastAsia="宋体"/>
                <w:color w:val="auto"/>
                <w:sz w:val="21"/>
                <w:szCs w:val="21"/>
              </w:rPr>
              <w:t>则烟气排放量为</w:t>
            </w:r>
            <w:r>
              <w:rPr>
                <w:rFonts w:hint="eastAsia"/>
                <w:color w:val="auto"/>
                <w:sz w:val="21"/>
                <w:szCs w:val="21"/>
                <w:lang w:val="en-US" w:eastAsia="zh-CN"/>
              </w:rPr>
              <w:t>5123.97</w:t>
            </w:r>
            <w:r>
              <w:rPr>
                <w:rFonts w:hint="default" w:ascii="Times New Roman" w:hAnsi="Times New Roman" w:eastAsia="宋体"/>
                <w:color w:val="auto"/>
                <w:sz w:val="21"/>
                <w:szCs w:val="21"/>
              </w:rPr>
              <w:t>m</w:t>
            </w:r>
            <w:r>
              <w:rPr>
                <w:rFonts w:hint="default" w:ascii="Times New Roman" w:hAnsi="Times New Roman" w:eastAsia="宋体"/>
                <w:color w:val="auto"/>
                <w:sz w:val="21"/>
                <w:szCs w:val="21"/>
                <w:vertAlign w:val="superscript"/>
              </w:rPr>
              <w:t>3</w:t>
            </w:r>
            <w:r>
              <w:rPr>
                <w:rFonts w:hint="default" w:ascii="Times New Roman" w:hAnsi="Times New Roman" w:eastAsia="宋体"/>
                <w:color w:val="auto"/>
                <w:sz w:val="21"/>
                <w:szCs w:val="21"/>
              </w:rPr>
              <w:t>/h。</w:t>
            </w:r>
          </w:p>
          <w:p w14:paraId="75ECD385">
            <w:pPr>
              <w:keepNext w:val="0"/>
              <w:keepLines w:val="0"/>
              <w:pageBreakBefore w:val="0"/>
              <w:suppressLineNumbers w:val="0"/>
              <w:kinsoku/>
              <w:overflowPunct/>
              <w:topLinePunct w:val="0"/>
              <w:bidi w:val="0"/>
              <w:adjustRightInd w:val="0"/>
              <w:snapToGrid w:val="0"/>
              <w:spacing w:before="0" w:beforeAutospacing="0" w:after="0" w:afterAutospacing="0" w:line="360" w:lineRule="auto"/>
              <w:ind w:left="0" w:right="0" w:firstLine="420" w:firstLineChars="200"/>
              <w:rPr>
                <w:rFonts w:hint="default" w:ascii="Times New Roman" w:hAnsi="Times New Roman" w:eastAsia="宋体"/>
                <w:color w:val="auto"/>
                <w:sz w:val="21"/>
                <w:szCs w:val="21"/>
              </w:rPr>
            </w:pPr>
            <w:r>
              <w:rPr>
                <w:rFonts w:hint="eastAsia" w:ascii="Times New Roman" w:hAnsi="Times New Roman" w:eastAsia="宋体"/>
                <w:b w:val="0"/>
                <w:bCs w:val="0"/>
                <w:color w:val="auto"/>
                <w:sz w:val="21"/>
                <w:szCs w:val="21"/>
                <w:lang w:val="en-US" w:eastAsia="zh-CN"/>
              </w:rPr>
              <w:t>b、</w:t>
            </w:r>
            <w:r>
              <w:rPr>
                <w:rFonts w:hint="default" w:ascii="Times New Roman" w:hAnsi="Times New Roman" w:eastAsia="宋体"/>
                <w:b w:val="0"/>
                <w:bCs w:val="0"/>
                <w:color w:val="auto"/>
                <w:sz w:val="21"/>
                <w:szCs w:val="21"/>
              </w:rPr>
              <w:t>污染物排放量分析</w:t>
            </w:r>
          </w:p>
          <w:p w14:paraId="5809FB9F">
            <w:pPr>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olor w:val="auto"/>
                <w:sz w:val="21"/>
                <w:szCs w:val="21"/>
              </w:rPr>
            </w:pPr>
            <w:r>
              <w:rPr>
                <w:rFonts w:hint="eastAsia"/>
                <w:color w:val="auto"/>
                <w:sz w:val="21"/>
                <w:szCs w:val="21"/>
                <w:lang w:val="en-US" w:eastAsia="zh-CN"/>
              </w:rPr>
              <w:t>锅</w:t>
            </w:r>
            <w:r>
              <w:rPr>
                <w:rFonts w:hint="default" w:ascii="Times New Roman" w:hAnsi="Times New Roman" w:eastAsia="宋体"/>
                <w:color w:val="auto"/>
                <w:sz w:val="21"/>
                <w:szCs w:val="21"/>
              </w:rPr>
              <w:t>炉污染物排放量</w:t>
            </w:r>
            <w:r>
              <w:rPr>
                <w:rFonts w:hint="eastAsia"/>
                <w:color w:val="auto"/>
                <w:sz w:val="21"/>
                <w:szCs w:val="21"/>
                <w:lang w:val="en-US" w:eastAsia="zh-CN"/>
              </w:rPr>
              <w:t>按</w:t>
            </w:r>
            <w:r>
              <w:rPr>
                <w:rFonts w:hint="eastAsia" w:ascii="Times New Roman" w:hAnsi="Times New Roman" w:eastAsia="宋体"/>
                <w:color w:val="auto"/>
                <w:sz w:val="21"/>
                <w:szCs w:val="21"/>
              </w:rPr>
              <w:t>照</w:t>
            </w:r>
            <w:r>
              <w:rPr>
                <w:rFonts w:hint="default" w:ascii="Times New Roman" w:hAnsi="Times New Roman" w:eastAsia="宋体"/>
                <w:color w:val="auto"/>
                <w:sz w:val="21"/>
                <w:szCs w:val="21"/>
              </w:rPr>
              <w:t>《污染源源强核算技术指南 锅炉》（HJ991-2018）采用物料衡算法</w:t>
            </w:r>
            <w:r>
              <w:rPr>
                <w:rFonts w:hint="eastAsia" w:ascii="Times New Roman" w:hAnsi="Times New Roman" w:eastAsia="宋体"/>
                <w:color w:val="auto"/>
                <w:sz w:val="21"/>
                <w:szCs w:val="21"/>
              </w:rPr>
              <w:t>和</w:t>
            </w:r>
            <w:r>
              <w:rPr>
                <w:rFonts w:hint="eastAsia" w:ascii="Times New Roman" w:hAnsi="Times New Roman" w:eastAsia="宋体"/>
                <w:color w:val="auto"/>
                <w:sz w:val="21"/>
                <w:szCs w:val="21"/>
                <w:lang w:val="en-US" w:eastAsia="zh-CN"/>
              </w:rPr>
              <w:t>系数法</w:t>
            </w:r>
            <w:r>
              <w:rPr>
                <w:rFonts w:hint="default" w:ascii="Times New Roman" w:hAnsi="Times New Roman" w:eastAsia="宋体"/>
                <w:color w:val="auto"/>
                <w:sz w:val="21"/>
                <w:szCs w:val="21"/>
              </w:rPr>
              <w:t>计算。</w:t>
            </w:r>
          </w:p>
          <w:p w14:paraId="1A534CE3">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default" w:ascii="Times New Roman" w:hAnsi="Times New Roman" w:eastAsia="宋体" w:cs="Times New Roman"/>
                <w:color w:val="auto"/>
                <w:kern w:val="0"/>
                <w:sz w:val="21"/>
                <w:szCs w:val="24"/>
                <w:highlight w:val="none"/>
                <w:lang w:val="en-US" w:eastAsia="zh-CN" w:bidi="ar"/>
              </w:rPr>
            </w:pPr>
            <w:r>
              <w:rPr>
                <w:rFonts w:hint="default" w:ascii="Times New Roman" w:hAnsi="Times New Roman" w:eastAsia="宋体" w:cs="Times New Roman"/>
                <w:color w:val="auto"/>
                <w:kern w:val="0"/>
                <w:sz w:val="21"/>
                <w:szCs w:val="24"/>
                <w:highlight w:val="none"/>
                <w:lang w:val="en-US" w:eastAsia="zh-CN" w:bidi="ar"/>
              </w:rPr>
              <w:t>颗粒物排放量按下式计算：</w:t>
            </w:r>
          </w:p>
          <w:p w14:paraId="303F16A2">
            <w:pPr>
              <w:pStyle w:val="257"/>
              <w:spacing w:line="240" w:lineRule="auto"/>
              <w:ind w:firstLine="0" w:firstLineChars="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lang w:eastAsia="zh-CN"/>
              </w:rPr>
              <w:drawing>
                <wp:inline distT="0" distB="0" distL="114300" distR="114300">
                  <wp:extent cx="2819400" cy="762000"/>
                  <wp:effectExtent l="0" t="0" r="0" b="0"/>
                  <wp:docPr id="5" name="图片 5" descr="微信图片_20230318163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30318163947"/>
                          <pic:cNvPicPr>
                            <a:picLocks noChangeAspect="1"/>
                          </pic:cNvPicPr>
                        </pic:nvPicPr>
                        <pic:blipFill>
                          <a:blip r:embed="rId20"/>
                          <a:stretch>
                            <a:fillRect/>
                          </a:stretch>
                        </pic:blipFill>
                        <pic:spPr>
                          <a:xfrm>
                            <a:off x="0" y="0"/>
                            <a:ext cx="2819400" cy="762000"/>
                          </a:xfrm>
                          <a:prstGeom prst="rect">
                            <a:avLst/>
                          </a:prstGeom>
                          <a:noFill/>
                          <a:ln>
                            <a:noFill/>
                          </a:ln>
                        </pic:spPr>
                      </pic:pic>
                    </a:graphicData>
                  </a:graphic>
                </wp:inline>
              </w:drawing>
            </w:r>
          </w:p>
          <w:p w14:paraId="05546051">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w:t>
            </w:r>
          </w:p>
          <w:p w14:paraId="2B16C7DC">
            <w:pPr>
              <w:keepNext w:val="0"/>
              <w:keepLines w:val="0"/>
              <w:suppressLineNumbers w:val="0"/>
              <w:spacing w:before="0" w:beforeAutospacing="0" w:after="0" w:afterAutospacing="0" w:line="360" w:lineRule="auto"/>
              <w:ind w:left="0" w:right="0" w:firstLine="420" w:firstLineChars="200"/>
              <w:textAlignment w:val="center"/>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rPr>
              <w:t>E</w:t>
            </w:r>
            <w:r>
              <w:rPr>
                <w:rFonts w:hint="default" w:ascii="Times New Roman" w:hAnsi="Times New Roman" w:eastAsia="宋体" w:cs="Times New Roman"/>
                <w:color w:val="auto"/>
                <w:sz w:val="21"/>
                <w:szCs w:val="24"/>
                <w:highlight w:val="none"/>
                <w:vertAlign w:val="subscript"/>
              </w:rPr>
              <w:t>A</w:t>
            </w:r>
            <w:r>
              <w:rPr>
                <w:rFonts w:hint="default" w:ascii="Times New Roman" w:hAnsi="Times New Roman" w:eastAsia="宋体" w:cs="Times New Roman"/>
                <w:color w:val="auto"/>
                <w:sz w:val="21"/>
                <w:szCs w:val="24"/>
                <w:highlight w:val="none"/>
              </w:rPr>
              <w:t>——核算时段内颗</w:t>
            </w:r>
            <w:r>
              <w:rPr>
                <w:rFonts w:hint="default" w:ascii="Times New Roman" w:hAnsi="Times New Roman" w:eastAsia="宋体" w:cs="Times New Roman"/>
                <w:color w:val="auto"/>
                <w:sz w:val="21"/>
                <w:szCs w:val="24"/>
                <w:highlight w:val="none"/>
                <w:lang w:val="en-US" w:eastAsia="zh-CN"/>
              </w:rPr>
              <w:t>粒物（烟囱）排放量，t；</w:t>
            </w:r>
          </w:p>
          <w:p w14:paraId="761C8AC9">
            <w:pPr>
              <w:keepNext w:val="0"/>
              <w:keepLines w:val="0"/>
              <w:suppressLineNumbers w:val="0"/>
              <w:spacing w:before="0" w:beforeAutospacing="0" w:after="0" w:afterAutospacing="0" w:line="360" w:lineRule="auto"/>
              <w:ind w:left="0" w:right="0" w:firstLine="420" w:firstLineChars="200"/>
              <w:textAlignment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lang w:val="en-US" w:eastAsia="zh-CN"/>
              </w:rPr>
              <w:t>R——核算时段内锅炉燃</w:t>
            </w:r>
            <w:r>
              <w:rPr>
                <w:rFonts w:hint="default" w:ascii="Times New Roman" w:hAnsi="Times New Roman" w:eastAsia="宋体" w:cs="Times New Roman"/>
                <w:color w:val="auto"/>
                <w:sz w:val="21"/>
                <w:szCs w:val="24"/>
                <w:highlight w:val="none"/>
              </w:rPr>
              <w:t>料耗量，t，取值</w:t>
            </w:r>
            <w:r>
              <w:rPr>
                <w:rFonts w:hint="default" w:ascii="Times New Roman" w:hAnsi="Times New Roman" w:eastAsia="宋体" w:cs="Times New Roman"/>
                <w:bCs/>
                <w:color w:val="auto"/>
                <w:sz w:val="21"/>
                <w:highlight w:val="none"/>
                <w:lang w:val="en-US" w:eastAsia="zh-CN"/>
              </w:rPr>
              <w:t>3</w:t>
            </w:r>
            <w:r>
              <w:rPr>
                <w:rFonts w:hint="eastAsia" w:cs="Times New Roman"/>
                <w:bCs/>
                <w:color w:val="auto"/>
                <w:sz w:val="21"/>
                <w:highlight w:val="none"/>
                <w:lang w:val="en-US" w:eastAsia="zh-CN"/>
              </w:rPr>
              <w:t>608.77</w:t>
            </w:r>
            <w:r>
              <w:rPr>
                <w:rFonts w:hint="default" w:ascii="Times New Roman" w:hAnsi="Times New Roman" w:eastAsia="宋体" w:cs="Times New Roman"/>
                <w:color w:val="auto"/>
                <w:sz w:val="21"/>
                <w:highlight w:val="none"/>
              </w:rPr>
              <w:t>t/</w:t>
            </w:r>
            <w:r>
              <w:rPr>
                <w:rFonts w:hint="default" w:ascii="Times New Roman" w:hAnsi="Times New Roman" w:eastAsia="宋体" w:cs="Times New Roman"/>
                <w:color w:val="auto"/>
                <w:sz w:val="21"/>
                <w:highlight w:val="none"/>
                <w:lang w:val="en-US" w:eastAsia="zh-CN"/>
              </w:rPr>
              <w:t>a</w:t>
            </w:r>
            <w:r>
              <w:rPr>
                <w:rFonts w:hint="default" w:ascii="Times New Roman" w:hAnsi="Times New Roman" w:eastAsia="宋体" w:cs="Times New Roman"/>
                <w:color w:val="auto"/>
                <w:sz w:val="21"/>
                <w:szCs w:val="24"/>
                <w:highlight w:val="none"/>
              </w:rPr>
              <w:t>；</w:t>
            </w:r>
          </w:p>
          <w:p w14:paraId="50CB1D71">
            <w:pPr>
              <w:pStyle w:val="124"/>
              <w:keepNext w:val="0"/>
              <w:keepLines w:val="0"/>
              <w:pageBreakBefore w:val="0"/>
              <w:widowControl w:val="0"/>
              <w:kinsoku/>
              <w:wordWrap/>
              <w:overflowPunct/>
              <w:topLinePunct w:val="0"/>
              <w:autoSpaceDN/>
              <w:bidi w:val="0"/>
              <w:adjustRightInd/>
              <w:snapToGrid/>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A</w:t>
            </w:r>
            <w:r>
              <w:rPr>
                <w:rFonts w:hint="default" w:ascii="Times New Roman" w:hAnsi="Times New Roman" w:eastAsia="宋体" w:cs="Times New Roman"/>
                <w:color w:val="auto"/>
                <w:sz w:val="21"/>
                <w:szCs w:val="24"/>
                <w:highlight w:val="none"/>
                <w:vertAlign w:val="subscript"/>
              </w:rPr>
              <w:t>ar</w:t>
            </w:r>
            <w:r>
              <w:rPr>
                <w:rFonts w:hint="default" w:ascii="Times New Roman" w:hAnsi="Times New Roman" w:eastAsia="宋体" w:cs="Times New Roman"/>
                <w:color w:val="auto"/>
                <w:sz w:val="21"/>
                <w:szCs w:val="24"/>
                <w:highlight w:val="none"/>
              </w:rPr>
              <w:t>——收到基灰分质量分数，%，</w:t>
            </w:r>
            <w:r>
              <w:rPr>
                <w:rFonts w:hint="eastAsia" w:cs="Times New Roman"/>
                <w:color w:val="auto"/>
                <w:sz w:val="21"/>
                <w:szCs w:val="24"/>
                <w:highlight w:val="none"/>
                <w:lang w:val="en-US" w:eastAsia="zh-CN"/>
              </w:rPr>
              <w:t>根据燃料检测报告取6.33</w:t>
            </w:r>
            <w:r>
              <w:rPr>
                <w:rFonts w:hint="default" w:ascii="Times New Roman" w:hAnsi="Times New Roman" w:eastAsia="宋体" w:cs="Times New Roman"/>
                <w:iCs/>
                <w:color w:val="auto"/>
                <w:sz w:val="21"/>
                <w:szCs w:val="24"/>
                <w:highlight w:val="none"/>
              </w:rPr>
              <w:t>；</w:t>
            </w:r>
          </w:p>
          <w:p w14:paraId="5476F361">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d</w:t>
            </w:r>
            <w:r>
              <w:rPr>
                <w:rFonts w:hint="default" w:ascii="Times New Roman" w:hAnsi="Times New Roman" w:eastAsia="宋体" w:cs="Times New Roman"/>
                <w:color w:val="auto"/>
                <w:sz w:val="21"/>
                <w:szCs w:val="24"/>
                <w:highlight w:val="none"/>
                <w:vertAlign w:val="subscript"/>
              </w:rPr>
              <w:t>fh</w:t>
            </w:r>
            <w:r>
              <w:rPr>
                <w:rFonts w:hint="default" w:ascii="Times New Roman" w:hAnsi="Times New Roman" w:eastAsia="宋体" w:cs="Times New Roman"/>
                <w:color w:val="auto"/>
                <w:sz w:val="21"/>
                <w:szCs w:val="24"/>
                <w:highlight w:val="none"/>
              </w:rPr>
              <w:t>——锅炉烟气带出的飞灰份额，%，</w:t>
            </w:r>
            <w:r>
              <w:rPr>
                <w:rFonts w:hint="default" w:ascii="Times New Roman" w:hAnsi="Times New Roman" w:eastAsia="宋体" w:cs="Times New Roman"/>
                <w:color w:val="auto"/>
                <w:sz w:val="21"/>
                <w:szCs w:val="24"/>
                <w:highlight w:val="none"/>
                <w:lang w:val="en-US" w:eastAsia="zh-CN"/>
              </w:rPr>
              <w:t>燃用生物质时，飞灰份额取值45%</w:t>
            </w:r>
            <w:r>
              <w:rPr>
                <w:rFonts w:hint="default" w:ascii="Times New Roman" w:hAnsi="Times New Roman" w:eastAsia="宋体" w:cs="Times New Roman"/>
                <w:color w:val="auto"/>
                <w:sz w:val="21"/>
                <w:szCs w:val="24"/>
                <w:highlight w:val="none"/>
              </w:rPr>
              <w:t>。</w:t>
            </w:r>
          </w:p>
          <w:p w14:paraId="20FE818E">
            <w:pPr>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η</w:t>
            </w:r>
            <w:r>
              <w:rPr>
                <w:rFonts w:hint="default" w:ascii="Times New Roman" w:hAnsi="Times New Roman" w:eastAsia="宋体" w:cs="Times New Roman"/>
                <w:color w:val="auto"/>
                <w:sz w:val="21"/>
                <w:szCs w:val="24"/>
                <w:highlight w:val="none"/>
                <w:vertAlign w:val="subscript"/>
              </w:rPr>
              <w:t>c</w:t>
            </w:r>
            <w:r>
              <w:rPr>
                <w:rFonts w:hint="default" w:ascii="Times New Roman" w:hAnsi="Times New Roman" w:eastAsia="宋体" w:cs="Times New Roman"/>
                <w:color w:val="auto"/>
                <w:sz w:val="21"/>
                <w:szCs w:val="24"/>
                <w:highlight w:val="none"/>
              </w:rPr>
              <w:t>——综合除尘效率，%，</w:t>
            </w:r>
            <w:r>
              <w:rPr>
                <w:rFonts w:hint="default" w:ascii="Times New Roman" w:hAnsi="Times New Roman" w:cs="Times New Roman"/>
                <w:color w:val="auto"/>
                <w:sz w:val="21"/>
                <w:szCs w:val="21"/>
              </w:rPr>
              <w:t>根据《排放源统计调查产排污核算方法和系数手册》-4430工业锅炉（热力生产和供应行业）产污系数表-生物质工业锅炉，袋式除尘器除尘效率取99.7%</w:t>
            </w:r>
            <w:r>
              <w:rPr>
                <w:rFonts w:hint="default" w:ascii="Times New Roman" w:hAnsi="Times New Roman" w:eastAsia="宋体" w:cs="Times New Roman"/>
                <w:color w:val="auto"/>
                <w:sz w:val="21"/>
                <w:szCs w:val="24"/>
                <w:highlight w:val="none"/>
              </w:rPr>
              <w:t>；</w:t>
            </w:r>
          </w:p>
          <w:p w14:paraId="671BFBA9">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rPr>
              <w:t>C</w:t>
            </w:r>
            <w:r>
              <w:rPr>
                <w:rFonts w:hint="default" w:ascii="Times New Roman" w:hAnsi="Times New Roman" w:eastAsia="宋体" w:cs="Times New Roman"/>
                <w:color w:val="auto"/>
                <w:sz w:val="21"/>
                <w:szCs w:val="24"/>
                <w:highlight w:val="none"/>
                <w:vertAlign w:val="subscript"/>
              </w:rPr>
              <w:t>fh</w:t>
            </w:r>
            <w:r>
              <w:rPr>
                <w:rFonts w:hint="default" w:ascii="Times New Roman" w:hAnsi="Times New Roman" w:eastAsia="宋体" w:cs="Times New Roman"/>
                <w:color w:val="auto"/>
                <w:sz w:val="21"/>
                <w:szCs w:val="24"/>
                <w:highlight w:val="none"/>
              </w:rPr>
              <w:t>——飞灰中的可燃物含量，%，</w:t>
            </w:r>
            <w:r>
              <w:rPr>
                <w:rFonts w:hint="default" w:ascii="Times New Roman" w:hAnsi="Times New Roman" w:cs="Times New Roman"/>
                <w:color w:val="auto"/>
                <w:szCs w:val="21"/>
              </w:rPr>
              <w:t>（项目使用生物质成型燃料，飞灰中可燃物含量类比烟煤II类，根据《工业锅炉经济运行》（GB/T17954-2007），取1</w:t>
            </w: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w:t>
            </w:r>
            <w:r>
              <w:rPr>
                <w:rFonts w:hint="default" w:ascii="Times New Roman" w:hAnsi="Times New Roman" w:eastAsia="宋体" w:cs="Times New Roman"/>
                <w:color w:val="auto"/>
                <w:sz w:val="21"/>
                <w:szCs w:val="24"/>
                <w:highlight w:val="none"/>
              </w:rPr>
              <w:t>。</w:t>
            </w:r>
          </w:p>
          <w:p w14:paraId="3F2C6F07">
            <w:pPr>
              <w:keepNext w:val="0"/>
              <w:keepLines w:val="0"/>
              <w:pageBreakBefore w:val="0"/>
              <w:kinsoku/>
              <w:overflowPunct/>
              <w:topLinePunct w:val="0"/>
              <w:bidi w:val="0"/>
              <w:adjustRightInd w:val="0"/>
              <w:snapToGrid w:val="0"/>
              <w:spacing w:line="360" w:lineRule="auto"/>
              <w:ind w:firstLine="420" w:firstLineChars="200"/>
              <w:rPr>
                <w:rFonts w:ascii="Times New Roman" w:hAnsi="Times New Roman" w:eastAsia="宋体"/>
                <w:color w:val="auto"/>
                <w:sz w:val="21"/>
                <w:szCs w:val="21"/>
              </w:rPr>
            </w:pPr>
            <w:r>
              <w:rPr>
                <w:rFonts w:ascii="Times New Roman" w:hAnsi="Times New Roman" w:eastAsia="宋体"/>
                <w:color w:val="auto"/>
                <w:sz w:val="21"/>
                <w:szCs w:val="21"/>
              </w:rPr>
              <w:t>经计算，</w:t>
            </w:r>
            <w:r>
              <w:rPr>
                <w:rFonts w:hint="eastAsia" w:ascii="Times New Roman" w:hAnsi="Times New Roman" w:eastAsia="宋体"/>
                <w:color w:val="auto"/>
                <w:sz w:val="21"/>
                <w:szCs w:val="21"/>
              </w:rPr>
              <w:t>颗粒物</w:t>
            </w:r>
            <w:r>
              <w:rPr>
                <w:rFonts w:ascii="Times New Roman" w:hAnsi="Times New Roman" w:eastAsia="宋体"/>
                <w:color w:val="auto"/>
                <w:sz w:val="21"/>
                <w:szCs w:val="21"/>
              </w:rPr>
              <w:t>排放量为</w:t>
            </w:r>
            <w:r>
              <w:rPr>
                <w:rFonts w:hint="eastAsia" w:ascii="Times New Roman" w:hAnsi="Times New Roman" w:eastAsia="宋体"/>
                <w:color w:val="auto"/>
                <w:sz w:val="21"/>
                <w:szCs w:val="21"/>
              </w:rPr>
              <w:t>0.</w:t>
            </w:r>
            <w:r>
              <w:rPr>
                <w:rFonts w:hint="eastAsia" w:ascii="Times New Roman" w:hAnsi="Times New Roman" w:eastAsia="宋体"/>
                <w:color w:val="auto"/>
                <w:sz w:val="21"/>
                <w:szCs w:val="21"/>
                <w:lang w:val="en-US" w:eastAsia="zh-CN"/>
              </w:rPr>
              <w:t>35</w:t>
            </w:r>
            <w:r>
              <w:rPr>
                <w:rFonts w:ascii="Times New Roman" w:hAnsi="Times New Roman" w:eastAsia="宋体"/>
                <w:color w:val="auto"/>
                <w:sz w:val="21"/>
                <w:szCs w:val="21"/>
              </w:rPr>
              <w:t>t</w:t>
            </w:r>
            <w:r>
              <w:rPr>
                <w:rFonts w:hint="eastAsia" w:ascii="Times New Roman" w:hAnsi="Times New Roman" w:eastAsia="宋体"/>
                <w:color w:val="auto"/>
                <w:sz w:val="21"/>
                <w:szCs w:val="21"/>
              </w:rPr>
              <w:t>/a，</w:t>
            </w:r>
            <w:r>
              <w:rPr>
                <w:rFonts w:ascii="Times New Roman" w:hAnsi="Times New Roman" w:eastAsia="宋体"/>
                <w:color w:val="auto"/>
                <w:sz w:val="21"/>
                <w:szCs w:val="21"/>
              </w:rPr>
              <w:t>排放速率为</w:t>
            </w:r>
            <w:r>
              <w:rPr>
                <w:rFonts w:hint="eastAsia" w:ascii="Times New Roman" w:hAnsi="Times New Roman" w:eastAsia="宋体"/>
                <w:color w:val="auto"/>
                <w:sz w:val="21"/>
                <w:szCs w:val="21"/>
              </w:rPr>
              <w:t>0.</w:t>
            </w:r>
            <w:r>
              <w:rPr>
                <w:rFonts w:hint="eastAsia" w:ascii="Times New Roman" w:hAnsi="Times New Roman" w:eastAsia="宋体"/>
                <w:color w:val="auto"/>
                <w:sz w:val="21"/>
                <w:szCs w:val="21"/>
                <w:lang w:val="en-US" w:eastAsia="zh-CN"/>
              </w:rPr>
              <w:t>08</w:t>
            </w:r>
            <w:r>
              <w:rPr>
                <w:rFonts w:ascii="Times New Roman" w:hAnsi="Times New Roman" w:eastAsia="宋体"/>
                <w:color w:val="auto"/>
                <w:sz w:val="21"/>
                <w:szCs w:val="21"/>
              </w:rPr>
              <w:t>kg/h，排放浓度为</w:t>
            </w:r>
            <w:r>
              <w:rPr>
                <w:rFonts w:hint="eastAsia" w:ascii="Times New Roman" w:hAnsi="Times New Roman" w:eastAsia="宋体"/>
                <w:color w:val="auto"/>
                <w:sz w:val="21"/>
                <w:szCs w:val="21"/>
                <w:lang w:val="en-US" w:eastAsia="zh-CN"/>
              </w:rPr>
              <w:t>16.01</w:t>
            </w:r>
            <w:r>
              <w:rPr>
                <w:rFonts w:ascii="Times New Roman" w:hAnsi="Times New Roman" w:eastAsia="宋体"/>
                <w:color w:val="auto"/>
                <w:sz w:val="21"/>
                <w:szCs w:val="21"/>
              </w:rPr>
              <w:t>mg/m</w:t>
            </w:r>
            <w:r>
              <w:rPr>
                <w:rFonts w:ascii="Times New Roman" w:hAnsi="Times New Roman" w:eastAsia="宋体"/>
                <w:color w:val="auto"/>
                <w:sz w:val="21"/>
                <w:szCs w:val="21"/>
                <w:vertAlign w:val="superscript"/>
              </w:rPr>
              <w:t>3</w:t>
            </w:r>
            <w:r>
              <w:rPr>
                <w:rFonts w:ascii="Times New Roman" w:hAnsi="Times New Roman" w:eastAsia="宋体"/>
                <w:color w:val="auto"/>
                <w:sz w:val="21"/>
                <w:szCs w:val="21"/>
              </w:rPr>
              <w:t>，产生量为</w:t>
            </w:r>
            <w:r>
              <w:rPr>
                <w:rFonts w:hint="eastAsia" w:ascii="Times New Roman" w:hAnsi="Times New Roman" w:eastAsia="宋体"/>
                <w:color w:val="auto"/>
                <w:sz w:val="21"/>
                <w:szCs w:val="21"/>
                <w:lang w:val="en-US" w:eastAsia="zh-CN"/>
              </w:rPr>
              <w:t>118.16</w:t>
            </w:r>
            <w:r>
              <w:rPr>
                <w:rFonts w:ascii="Times New Roman" w:hAnsi="Times New Roman" w:eastAsia="宋体"/>
                <w:color w:val="auto"/>
                <w:sz w:val="21"/>
                <w:szCs w:val="21"/>
              </w:rPr>
              <w:t>t/a</w:t>
            </w:r>
            <w:r>
              <w:rPr>
                <w:rFonts w:hint="eastAsia" w:ascii="Times New Roman" w:hAnsi="Times New Roman" w:eastAsia="宋体"/>
                <w:color w:val="auto"/>
                <w:sz w:val="21"/>
                <w:szCs w:val="21"/>
              </w:rPr>
              <w:t>，产生浓度为</w:t>
            </w:r>
            <w:r>
              <w:rPr>
                <w:rFonts w:hint="eastAsia" w:ascii="Times New Roman" w:hAnsi="Times New Roman" w:eastAsia="宋体"/>
                <w:color w:val="auto"/>
                <w:sz w:val="21"/>
                <w:szCs w:val="21"/>
                <w:lang w:val="en-US" w:eastAsia="zh-CN"/>
              </w:rPr>
              <w:t>5337.84</w:t>
            </w:r>
            <w:r>
              <w:rPr>
                <w:rFonts w:ascii="Times New Roman" w:hAnsi="Times New Roman" w:eastAsia="宋体"/>
                <w:color w:val="auto"/>
                <w:sz w:val="21"/>
                <w:szCs w:val="21"/>
              </w:rPr>
              <w:t>mg/m</w:t>
            </w:r>
            <w:r>
              <w:rPr>
                <w:rFonts w:ascii="Times New Roman" w:hAnsi="Times New Roman" w:eastAsia="宋体"/>
                <w:color w:val="auto"/>
                <w:sz w:val="21"/>
                <w:szCs w:val="21"/>
                <w:vertAlign w:val="superscript"/>
              </w:rPr>
              <w:t>3</w:t>
            </w:r>
            <w:r>
              <w:rPr>
                <w:rFonts w:ascii="Times New Roman" w:hAnsi="Times New Roman" w:eastAsia="宋体"/>
                <w:color w:val="auto"/>
                <w:sz w:val="21"/>
                <w:szCs w:val="21"/>
              </w:rPr>
              <w:t>。</w:t>
            </w:r>
          </w:p>
          <w:p w14:paraId="57B8E0E1">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kern w:val="0"/>
                <w:sz w:val="21"/>
                <w:szCs w:val="24"/>
                <w:highlight w:val="none"/>
                <w:lang w:val="en-US" w:eastAsia="zh-CN" w:bidi="ar"/>
              </w:rPr>
              <w:t>③</w:t>
            </w:r>
            <w:r>
              <w:rPr>
                <w:rFonts w:hint="default" w:ascii="Times New Roman" w:hAnsi="Times New Roman" w:eastAsia="宋体" w:cs="Times New Roman"/>
                <w:color w:val="auto"/>
                <w:sz w:val="21"/>
                <w:szCs w:val="24"/>
                <w:highlight w:val="none"/>
              </w:rPr>
              <w:t>二氧化硫排放量按下式计算：</w:t>
            </w:r>
          </w:p>
          <w:p w14:paraId="459352FA">
            <w:pPr>
              <w:pStyle w:val="257"/>
              <w:spacing w:line="240" w:lineRule="auto"/>
              <w:ind w:firstLine="0" w:firstLineChars="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3686175" cy="504825"/>
                  <wp:effectExtent l="0" t="0" r="1905" b="13335"/>
                  <wp:docPr id="13" name="图片 3" descr="微信图片_20230318164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微信图片_20230318164103"/>
                          <pic:cNvPicPr>
                            <a:picLocks noChangeAspect="1"/>
                          </pic:cNvPicPr>
                        </pic:nvPicPr>
                        <pic:blipFill>
                          <a:blip r:embed="rId21"/>
                          <a:stretch>
                            <a:fillRect/>
                          </a:stretch>
                        </pic:blipFill>
                        <pic:spPr>
                          <a:xfrm>
                            <a:off x="0" y="0"/>
                            <a:ext cx="3686175" cy="504825"/>
                          </a:xfrm>
                          <a:prstGeom prst="rect">
                            <a:avLst/>
                          </a:prstGeom>
                          <a:noFill/>
                          <a:ln>
                            <a:noFill/>
                          </a:ln>
                        </pic:spPr>
                      </pic:pic>
                    </a:graphicData>
                  </a:graphic>
                </wp:inline>
              </w:drawing>
            </w:r>
            <w:r>
              <w:rPr>
                <w:rFonts w:hint="default" w:ascii="Times New Roman" w:hAnsi="Times New Roman" w:eastAsia="宋体" w:cs="Times New Roman"/>
                <w:color w:val="auto"/>
                <w:sz w:val="21"/>
                <w:szCs w:val="24"/>
                <w:highlight w:val="none"/>
              </w:rPr>
              <w:t xml:space="preserve"> </w:t>
            </w:r>
          </w:p>
          <w:p w14:paraId="41944F2E">
            <w:pPr>
              <w:pStyle w:val="257"/>
              <w:keepNext w:val="0"/>
              <w:keepLines w:val="0"/>
              <w:pageBreakBefore w:val="0"/>
              <w:kinsoku/>
              <w:wordWrap/>
              <w:overflowPunct/>
              <w:topLinePunct w:val="0"/>
              <w:autoSpaceDE w:val="0"/>
              <w:autoSpaceDN/>
              <w:bidi w:val="0"/>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w:t>
            </w:r>
          </w:p>
          <w:p w14:paraId="5DB99221">
            <w:pPr>
              <w:pStyle w:val="257"/>
              <w:keepNext w:val="0"/>
              <w:keepLines w:val="0"/>
              <w:pageBreakBefore w:val="0"/>
              <w:kinsoku/>
              <w:wordWrap/>
              <w:overflowPunct/>
              <w:topLinePunct w:val="0"/>
              <w:autoSpaceDE w:val="0"/>
              <w:autoSpaceDN/>
              <w:bidi w:val="0"/>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E</w:t>
            </w:r>
            <w:r>
              <w:rPr>
                <w:rFonts w:hint="default" w:ascii="Times New Roman" w:hAnsi="Times New Roman" w:eastAsia="宋体" w:cs="Times New Roman"/>
                <w:color w:val="auto"/>
                <w:sz w:val="21"/>
                <w:szCs w:val="24"/>
                <w:highlight w:val="none"/>
                <w:vertAlign w:val="subscript"/>
              </w:rPr>
              <w:t>SO2</w:t>
            </w:r>
            <w:r>
              <w:rPr>
                <w:rFonts w:hint="default" w:ascii="Times New Roman" w:hAnsi="Times New Roman" w:eastAsia="宋体" w:cs="Times New Roman"/>
                <w:color w:val="auto"/>
                <w:sz w:val="21"/>
                <w:szCs w:val="24"/>
                <w:highlight w:val="none"/>
              </w:rPr>
              <w:t>——核算时段内二氧化硫排放量，t；</w:t>
            </w:r>
          </w:p>
          <w:p w14:paraId="7957E8C3">
            <w:pPr>
              <w:pStyle w:val="257"/>
              <w:keepNext w:val="0"/>
              <w:keepLines w:val="0"/>
              <w:pageBreakBefore w:val="0"/>
              <w:kinsoku/>
              <w:wordWrap/>
              <w:overflowPunct/>
              <w:topLinePunct w:val="0"/>
              <w:autoSpaceDE w:val="0"/>
              <w:autoSpaceDN/>
              <w:bidi w:val="0"/>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R——核算时段内锅炉燃料耗量，t，取值</w:t>
            </w:r>
            <w:r>
              <w:rPr>
                <w:rFonts w:hint="eastAsia" w:cs="Times New Roman"/>
                <w:bCs/>
                <w:color w:val="auto"/>
                <w:sz w:val="21"/>
                <w:highlight w:val="none"/>
                <w:lang w:val="en-US" w:eastAsia="zh-CN"/>
              </w:rPr>
              <w:t>3608.77</w:t>
            </w:r>
            <w:r>
              <w:rPr>
                <w:rFonts w:hint="default" w:ascii="Times New Roman" w:hAnsi="Times New Roman" w:eastAsia="宋体" w:cs="Times New Roman"/>
                <w:color w:val="auto"/>
                <w:sz w:val="21"/>
                <w:highlight w:val="none"/>
              </w:rPr>
              <w:t>t/</w:t>
            </w:r>
            <w:r>
              <w:rPr>
                <w:rFonts w:hint="default" w:ascii="Times New Roman" w:hAnsi="Times New Roman" w:eastAsia="宋体" w:cs="Times New Roman"/>
                <w:color w:val="auto"/>
                <w:sz w:val="21"/>
                <w:highlight w:val="none"/>
                <w:lang w:val="en-US" w:eastAsia="zh-CN"/>
              </w:rPr>
              <w:t>a</w:t>
            </w:r>
            <w:r>
              <w:rPr>
                <w:rFonts w:hint="default" w:ascii="Times New Roman" w:hAnsi="Times New Roman" w:eastAsia="宋体" w:cs="Times New Roman"/>
                <w:color w:val="auto"/>
                <w:sz w:val="21"/>
                <w:szCs w:val="24"/>
                <w:highlight w:val="none"/>
              </w:rPr>
              <w:t>；</w:t>
            </w:r>
          </w:p>
          <w:p w14:paraId="262C75E9">
            <w:pPr>
              <w:pStyle w:val="124"/>
              <w:keepNext w:val="0"/>
              <w:keepLines w:val="0"/>
              <w:pageBreakBefore w:val="0"/>
              <w:kinsoku/>
              <w:wordWrap/>
              <w:overflowPunct/>
              <w:topLinePunct w:val="0"/>
              <w:autoSpaceDN/>
              <w:bidi w:val="0"/>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S</w:t>
            </w:r>
            <w:r>
              <w:rPr>
                <w:rFonts w:hint="default" w:ascii="Times New Roman" w:hAnsi="Times New Roman" w:eastAsia="宋体" w:cs="Times New Roman"/>
                <w:color w:val="auto"/>
                <w:sz w:val="21"/>
                <w:szCs w:val="24"/>
                <w:highlight w:val="none"/>
                <w:vertAlign w:val="subscript"/>
              </w:rPr>
              <w:t>ar</w:t>
            </w:r>
            <w:r>
              <w:rPr>
                <w:rFonts w:hint="default" w:ascii="Times New Roman" w:hAnsi="Times New Roman" w:eastAsia="宋体" w:cs="Times New Roman"/>
                <w:color w:val="auto"/>
                <w:sz w:val="21"/>
                <w:szCs w:val="24"/>
                <w:highlight w:val="none"/>
              </w:rPr>
              <w:t>——收到基硫的质量分数，%，</w:t>
            </w:r>
            <w:r>
              <w:rPr>
                <w:rFonts w:hint="default" w:ascii="Times New Roman" w:hAnsi="Times New Roman" w:eastAsia="宋体" w:cs="Times New Roman"/>
                <w:iCs/>
                <w:color w:val="auto"/>
                <w:sz w:val="21"/>
                <w:szCs w:val="24"/>
                <w:highlight w:val="none"/>
              </w:rPr>
              <w:t>取值</w:t>
            </w:r>
            <w:r>
              <w:rPr>
                <w:rFonts w:hint="default" w:ascii="Times New Roman" w:hAnsi="Times New Roman" w:eastAsia="宋体" w:cs="Times New Roman"/>
                <w:iCs/>
                <w:color w:val="auto"/>
                <w:sz w:val="21"/>
                <w:szCs w:val="24"/>
                <w:highlight w:val="none"/>
                <w:lang w:val="en-US" w:eastAsia="zh-CN"/>
              </w:rPr>
              <w:t>0.0</w:t>
            </w:r>
            <w:r>
              <w:rPr>
                <w:rFonts w:hint="eastAsia" w:cs="Times New Roman"/>
                <w:iCs/>
                <w:color w:val="auto"/>
                <w:sz w:val="21"/>
                <w:szCs w:val="24"/>
                <w:highlight w:val="none"/>
                <w:lang w:val="en-US" w:eastAsia="zh-CN"/>
              </w:rPr>
              <w:t>7</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iCs/>
                <w:color w:val="auto"/>
                <w:sz w:val="21"/>
                <w:szCs w:val="24"/>
                <w:highlight w:val="none"/>
              </w:rPr>
              <w:t>；</w:t>
            </w:r>
          </w:p>
          <w:p w14:paraId="6E18FB0C">
            <w:pPr>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q</w:t>
            </w:r>
            <w:r>
              <w:rPr>
                <w:rFonts w:hint="default" w:ascii="Times New Roman" w:hAnsi="Times New Roman" w:eastAsia="宋体" w:cs="Times New Roman"/>
                <w:color w:val="auto"/>
                <w:sz w:val="21"/>
                <w:szCs w:val="24"/>
                <w:highlight w:val="none"/>
                <w:vertAlign w:val="subscript"/>
              </w:rPr>
              <w:t>4</w:t>
            </w:r>
            <w:r>
              <w:rPr>
                <w:rFonts w:hint="default" w:ascii="Times New Roman" w:hAnsi="Times New Roman" w:eastAsia="宋体" w:cs="Times New Roman"/>
                <w:color w:val="auto"/>
                <w:sz w:val="21"/>
                <w:szCs w:val="24"/>
                <w:highlight w:val="none"/>
              </w:rPr>
              <w:t>——锅炉机械不完全燃烧热损失，%，</w:t>
            </w:r>
            <w:r>
              <w:rPr>
                <w:rFonts w:hint="default" w:ascii="Times New Roman" w:hAnsi="Times New Roman" w:cs="Times New Roman"/>
                <w:color w:val="auto"/>
                <w:szCs w:val="21"/>
              </w:rPr>
              <w:t>根据</w:t>
            </w:r>
            <w:r>
              <w:rPr>
                <w:rFonts w:hint="default" w:ascii="Times New Roman" w:hAnsi="Times New Roman" w:cs="Times New Roman"/>
                <w:bCs/>
                <w:color w:val="auto"/>
                <w:szCs w:val="21"/>
              </w:rPr>
              <w:t>《污染源源强核算技术指南 锅炉》（HJ991-2018）附录B表B.1取</w:t>
            </w:r>
            <w:r>
              <w:rPr>
                <w:rFonts w:hint="eastAsia" w:ascii="Times New Roman" w:hAnsi="Times New Roman" w:eastAsia="宋体"/>
                <w:color w:val="auto"/>
                <w:sz w:val="21"/>
                <w:szCs w:val="21"/>
                <w:lang w:val="en-US" w:eastAsia="zh-CN"/>
              </w:rPr>
              <w:t>15%</w:t>
            </w:r>
            <w:r>
              <w:rPr>
                <w:rFonts w:hint="default" w:ascii="Times New Roman" w:hAnsi="Times New Roman" w:eastAsia="宋体" w:cs="Times New Roman"/>
                <w:color w:val="auto"/>
                <w:sz w:val="21"/>
                <w:szCs w:val="24"/>
                <w:highlight w:val="none"/>
              </w:rPr>
              <w:t>；</w:t>
            </w:r>
          </w:p>
          <w:p w14:paraId="5718A4BC">
            <w:pPr>
              <w:pStyle w:val="257"/>
              <w:keepNext w:val="0"/>
              <w:keepLines w:val="0"/>
              <w:pageBreakBefore w:val="0"/>
              <w:kinsoku/>
              <w:wordWrap/>
              <w:overflowPunct/>
              <w:topLinePunct w:val="0"/>
              <w:autoSpaceDE w:val="0"/>
              <w:autoSpaceDN/>
              <w:bidi w:val="0"/>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η</w:t>
            </w:r>
            <w:r>
              <w:rPr>
                <w:rFonts w:hint="default" w:ascii="Times New Roman" w:hAnsi="Times New Roman" w:eastAsia="宋体" w:cs="Times New Roman"/>
                <w:color w:val="auto"/>
                <w:sz w:val="21"/>
                <w:szCs w:val="24"/>
                <w:highlight w:val="none"/>
                <w:vertAlign w:val="subscript"/>
              </w:rPr>
              <w:t>s</w:t>
            </w:r>
            <w:r>
              <w:rPr>
                <w:rFonts w:hint="default" w:ascii="Times New Roman" w:hAnsi="Times New Roman" w:eastAsia="宋体" w:cs="Times New Roman"/>
                <w:color w:val="auto"/>
                <w:sz w:val="21"/>
                <w:szCs w:val="24"/>
                <w:highlight w:val="none"/>
              </w:rPr>
              <w:t>——脱硫效率，%，取值0；</w:t>
            </w:r>
          </w:p>
          <w:p w14:paraId="0B2E3B5D">
            <w:pPr>
              <w:pStyle w:val="257"/>
              <w:keepNext w:val="0"/>
              <w:keepLines w:val="0"/>
              <w:pageBreakBefore w:val="0"/>
              <w:kinsoku/>
              <w:wordWrap/>
              <w:overflowPunct/>
              <w:topLinePunct w:val="0"/>
              <w:autoSpaceDE w:val="0"/>
              <w:autoSpaceDN/>
              <w:bidi w:val="0"/>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K——燃料中的硫燃烧后氧化成而二氧化硫的份额，量纲一的量，</w:t>
            </w:r>
            <w:r>
              <w:rPr>
                <w:rFonts w:hint="default" w:ascii="Times New Roman" w:hAnsi="Times New Roman" w:eastAsia="宋体"/>
                <w:color w:val="auto"/>
                <w:sz w:val="21"/>
                <w:szCs w:val="21"/>
              </w:rPr>
              <w:t>根据《污染源源强核算技术指南 锅炉》（HJ991-2018）附录</w:t>
            </w:r>
            <w:r>
              <w:rPr>
                <w:rFonts w:hint="eastAsia" w:ascii="Times New Roman" w:hAnsi="Times New Roman" w:eastAsia="宋体"/>
                <w:color w:val="auto"/>
                <w:sz w:val="21"/>
                <w:szCs w:val="21"/>
              </w:rPr>
              <w:t>B表B.3</w:t>
            </w:r>
            <w:r>
              <w:rPr>
                <w:rFonts w:hint="default" w:ascii="Times New Roman" w:hAnsi="Times New Roman" w:eastAsia="宋体"/>
                <w:color w:val="auto"/>
                <w:sz w:val="21"/>
                <w:szCs w:val="21"/>
              </w:rPr>
              <w:t>取0.50</w:t>
            </w:r>
            <w:r>
              <w:rPr>
                <w:rFonts w:hint="default" w:ascii="Times New Roman" w:hAnsi="Times New Roman" w:eastAsia="宋体" w:cs="Times New Roman"/>
                <w:color w:val="auto"/>
                <w:sz w:val="21"/>
                <w:szCs w:val="24"/>
                <w:highlight w:val="none"/>
              </w:rPr>
              <w:t>。</w:t>
            </w:r>
          </w:p>
          <w:p w14:paraId="03D31777">
            <w:pPr>
              <w:pStyle w:val="257"/>
              <w:keepNext w:val="0"/>
              <w:keepLines w:val="0"/>
              <w:pageBreakBefore w:val="0"/>
              <w:widowControl w:val="0"/>
              <w:kinsoku/>
              <w:wordWrap/>
              <w:overflowPunct/>
              <w:topLinePunct w:val="0"/>
              <w:autoSpaceDE w:val="0"/>
              <w:autoSpaceDN/>
              <w:bidi w:val="0"/>
              <w:adjustRightInd/>
              <w:snapToGrid/>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经计算，本项目锅炉烟气中二氧化硫排放量为</w:t>
            </w:r>
            <w:r>
              <w:rPr>
                <w:rFonts w:hint="eastAsia" w:cs="Times New Roman"/>
                <w:color w:val="auto"/>
                <w:sz w:val="21"/>
                <w:szCs w:val="24"/>
                <w:highlight w:val="none"/>
                <w:lang w:val="en-US" w:eastAsia="zh-CN"/>
              </w:rPr>
              <w:t>2.15</w:t>
            </w:r>
            <w:r>
              <w:rPr>
                <w:rFonts w:hint="default" w:ascii="Times New Roman" w:hAnsi="Times New Roman" w:eastAsia="宋体" w:cs="Times New Roman"/>
                <w:color w:val="auto"/>
                <w:sz w:val="21"/>
                <w:szCs w:val="24"/>
                <w:highlight w:val="none"/>
                <w:lang w:val="en-US" w:eastAsia="zh-CN"/>
              </w:rPr>
              <w:t>t/a</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val="en-US" w:eastAsia="zh-CN"/>
              </w:rPr>
              <w:t>排放速率为0.</w:t>
            </w:r>
            <w:r>
              <w:rPr>
                <w:rFonts w:hint="eastAsia" w:cs="Times New Roman"/>
                <w:color w:val="auto"/>
                <w:sz w:val="21"/>
                <w:szCs w:val="24"/>
                <w:highlight w:val="none"/>
                <w:lang w:val="en-US" w:eastAsia="zh-CN"/>
              </w:rPr>
              <w:t>5</w:t>
            </w:r>
            <w:r>
              <w:rPr>
                <w:rFonts w:hint="default" w:ascii="Times New Roman" w:hAnsi="Times New Roman" w:eastAsia="宋体" w:cs="Times New Roman"/>
                <w:color w:val="auto"/>
                <w:sz w:val="21"/>
                <w:szCs w:val="24"/>
                <w:highlight w:val="none"/>
                <w:lang w:val="en-US" w:eastAsia="zh-CN"/>
              </w:rPr>
              <w:t>kg/h</w:t>
            </w:r>
            <w:r>
              <w:rPr>
                <w:rFonts w:hint="default" w:ascii="Times New Roman" w:hAnsi="Times New Roman" w:eastAsia="宋体" w:cs="Times New Roman"/>
                <w:color w:val="auto"/>
                <w:sz w:val="21"/>
                <w:szCs w:val="24"/>
                <w:highlight w:val="none"/>
              </w:rPr>
              <w:t>，排放浓度</w:t>
            </w:r>
            <w:r>
              <w:rPr>
                <w:rFonts w:hint="eastAsia" w:cs="Times New Roman"/>
                <w:color w:val="auto"/>
                <w:sz w:val="21"/>
                <w:szCs w:val="24"/>
                <w:highlight w:val="none"/>
                <w:lang w:val="en-US" w:eastAsia="zh-CN"/>
              </w:rPr>
              <w:t>97.00</w:t>
            </w:r>
            <w:r>
              <w:rPr>
                <w:rFonts w:hint="default" w:ascii="Times New Roman" w:hAnsi="Times New Roman" w:eastAsia="宋体" w:cs="Times New Roman"/>
                <w:color w:val="auto"/>
                <w:sz w:val="21"/>
                <w:szCs w:val="24"/>
                <w:highlight w:val="none"/>
              </w:rPr>
              <w:t>mg/m</w:t>
            </w:r>
            <w:r>
              <w:rPr>
                <w:rFonts w:hint="default" w:ascii="Times New Roman" w:hAnsi="Times New Roman" w:eastAsia="宋体" w:cs="Times New Roman"/>
                <w:color w:val="auto"/>
                <w:sz w:val="21"/>
                <w:szCs w:val="24"/>
                <w:highlight w:val="none"/>
                <w:vertAlign w:val="superscript"/>
              </w:rPr>
              <w:t>3</w:t>
            </w:r>
            <w:r>
              <w:rPr>
                <w:rFonts w:hint="default" w:ascii="Times New Roman" w:hAnsi="Times New Roman" w:eastAsia="宋体" w:cs="Times New Roman"/>
                <w:color w:val="auto"/>
                <w:sz w:val="21"/>
                <w:szCs w:val="24"/>
                <w:highlight w:val="none"/>
              </w:rPr>
              <w:t>。</w:t>
            </w:r>
          </w:p>
          <w:p w14:paraId="651F499F">
            <w:pPr>
              <w:pStyle w:val="114"/>
              <w:keepNext w:val="0"/>
              <w:keepLines w:val="0"/>
              <w:pageBreakBefore w:val="0"/>
              <w:widowControl w:val="0"/>
              <w:kinsoku/>
              <w:wordWrap/>
              <w:overflowPunct/>
              <w:topLinePunct w:val="0"/>
              <w:autoSpaceDN/>
              <w:bidi w:val="0"/>
              <w:adjustRightInd/>
              <w:snapToGrid/>
              <w:spacing w:line="360" w:lineRule="auto"/>
              <w:ind w:firstLine="480"/>
              <w:textAlignment w:val="auto"/>
              <w:rPr>
                <w:rFonts w:hint="default" w:ascii="Times New Roman" w:hAnsi="Times New Roman" w:eastAsia="宋体" w:cs="Times New Roman"/>
                <w:bCs/>
                <w:color w:val="auto"/>
                <w:sz w:val="21"/>
                <w:szCs w:val="24"/>
                <w:highlight w:val="none"/>
              </w:rPr>
            </w:pPr>
            <w:r>
              <w:rPr>
                <w:rFonts w:hint="default" w:ascii="Times New Roman" w:hAnsi="Times New Roman" w:eastAsia="宋体" w:cs="Times New Roman"/>
                <w:color w:val="auto"/>
                <w:kern w:val="0"/>
                <w:sz w:val="21"/>
                <w:szCs w:val="24"/>
                <w:highlight w:val="none"/>
                <w:lang w:val="en-US" w:eastAsia="zh-CN" w:bidi="ar"/>
              </w:rPr>
              <w:t>④</w:t>
            </w:r>
            <w:r>
              <w:rPr>
                <w:rFonts w:hint="default" w:ascii="Times New Roman" w:hAnsi="Times New Roman" w:eastAsia="宋体" w:cs="Times New Roman"/>
                <w:bCs/>
                <w:color w:val="auto"/>
                <w:sz w:val="21"/>
                <w:szCs w:val="24"/>
                <w:highlight w:val="none"/>
                <w:lang w:val="en-US" w:eastAsia="zh-CN"/>
              </w:rPr>
              <w:t>氮氧化物</w:t>
            </w:r>
            <w:r>
              <w:rPr>
                <w:rFonts w:hint="default" w:ascii="Times New Roman" w:hAnsi="Times New Roman" w:eastAsia="宋体" w:cs="Times New Roman"/>
                <w:bCs/>
                <w:color w:val="auto"/>
                <w:sz w:val="21"/>
                <w:szCs w:val="24"/>
                <w:highlight w:val="none"/>
              </w:rPr>
              <w:t>排放量按下</w:t>
            </w:r>
            <w:r>
              <w:rPr>
                <w:rFonts w:hint="default" w:ascii="Times New Roman" w:hAnsi="Times New Roman" w:eastAsia="宋体" w:cs="Times New Roman"/>
                <w:bCs/>
                <w:color w:val="auto"/>
                <w:sz w:val="21"/>
                <w:szCs w:val="24"/>
                <w:highlight w:val="none"/>
                <w:lang w:eastAsia="zh-CN"/>
              </w:rPr>
              <w:t>表</w:t>
            </w:r>
            <w:r>
              <w:rPr>
                <w:rFonts w:hint="default" w:ascii="Times New Roman" w:hAnsi="Times New Roman" w:eastAsia="宋体" w:cs="Times New Roman"/>
                <w:bCs/>
                <w:color w:val="auto"/>
                <w:sz w:val="21"/>
                <w:szCs w:val="24"/>
                <w:highlight w:val="none"/>
              </w:rPr>
              <w:t>计算：</w:t>
            </w:r>
          </w:p>
          <w:p w14:paraId="25F0199A">
            <w:pPr>
              <w:pStyle w:val="260"/>
              <w:keepNext w:val="0"/>
              <w:keepLines w:val="0"/>
              <w:pageBreakBefore w:val="0"/>
              <w:kinsoku/>
              <w:wordWrap/>
              <w:overflowPunct/>
              <w:topLinePunct w:val="0"/>
              <w:autoSpaceDE/>
              <w:autoSpaceDN/>
              <w:bidi w:val="0"/>
              <w:spacing w:line="360" w:lineRule="auto"/>
              <w:ind w:firstLine="464"/>
              <w:jc w:val="both"/>
              <w:textAlignment w:val="auto"/>
              <w:rPr>
                <w:rFonts w:hint="default" w:ascii="Times New Roman" w:hAnsi="Times New Roman" w:eastAsia="宋体" w:cs="Times New Roman"/>
                <w:color w:val="auto"/>
                <w:spacing w:val="-4"/>
                <w:sz w:val="21"/>
                <w:szCs w:val="24"/>
                <w:highlight w:val="none"/>
              </w:rPr>
            </w:pPr>
            <w:r>
              <w:rPr>
                <w:rFonts w:hint="default" w:ascii="Times New Roman" w:hAnsi="Times New Roman" w:eastAsia="宋体" w:cs="Times New Roman"/>
                <w:color w:val="auto"/>
                <w:spacing w:val="-4"/>
                <w:sz w:val="21"/>
                <w:szCs w:val="24"/>
                <w:highlight w:val="none"/>
              </w:rPr>
              <w:t>燃生物质氮氧化物产生量参照</w:t>
            </w:r>
            <w:r>
              <w:rPr>
                <w:rFonts w:hint="default" w:ascii="Times New Roman" w:hAnsi="Times New Roman" w:eastAsia="宋体" w:cs="Times New Roman"/>
                <w:color w:val="auto"/>
                <w:sz w:val="21"/>
                <w:szCs w:val="24"/>
                <w:highlight w:val="none"/>
              </w:rPr>
              <w:t>《污染源源强核算技术指南 锅炉》（HJ991-2018）中</w:t>
            </w:r>
            <w:r>
              <w:rPr>
                <w:rFonts w:hint="default" w:ascii="Times New Roman" w:hAnsi="Times New Roman" w:eastAsia="宋体" w:cs="Times New Roman"/>
                <w:color w:val="auto"/>
                <w:spacing w:val="-4"/>
                <w:sz w:val="21"/>
                <w:szCs w:val="24"/>
                <w:highlight w:val="none"/>
              </w:rPr>
              <w:t>式（5）计算。</w:t>
            </w:r>
          </w:p>
          <w:p w14:paraId="47DF7CE2">
            <w:pPr>
              <w:keepNext w:val="0"/>
              <w:keepLines w:val="0"/>
              <w:pageBreakBefore w:val="0"/>
              <w:kinsoku/>
              <w:wordWrap/>
              <w:overflowPunct/>
              <w:topLinePunct w:val="0"/>
              <w:autoSpaceDE/>
              <w:autoSpaceDN/>
              <w:bidi w:val="0"/>
              <w:spacing w:line="360" w:lineRule="auto"/>
              <w:ind w:firstLine="630" w:firstLineChars="30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3328035" cy="955675"/>
                  <wp:effectExtent l="0" t="0" r="5715" b="15875"/>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36"/>
                          <a:stretch>
                            <a:fillRect/>
                          </a:stretch>
                        </pic:blipFill>
                        <pic:spPr>
                          <a:xfrm>
                            <a:off x="0" y="0"/>
                            <a:ext cx="3328035" cy="955675"/>
                          </a:xfrm>
                          <a:prstGeom prst="rect">
                            <a:avLst/>
                          </a:prstGeom>
                          <a:noFill/>
                          <a:ln>
                            <a:noFill/>
                          </a:ln>
                        </pic:spPr>
                      </pic:pic>
                    </a:graphicData>
                  </a:graphic>
                </wp:inline>
              </w:drawing>
            </w:r>
          </w:p>
          <w:p w14:paraId="12FE8868">
            <w:pPr>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式中：E</w:t>
            </w:r>
            <w:r>
              <w:rPr>
                <w:rFonts w:hint="default" w:ascii="Times New Roman" w:hAnsi="Times New Roman" w:eastAsia="宋体" w:cs="Times New Roman"/>
                <w:color w:val="auto"/>
                <w:sz w:val="21"/>
                <w:szCs w:val="24"/>
                <w:highlight w:val="none"/>
                <w:vertAlign w:val="subscript"/>
              </w:rPr>
              <w:t>NOx</w:t>
            </w:r>
            <w:r>
              <w:rPr>
                <w:rFonts w:hint="default" w:ascii="Times New Roman" w:hAnsi="Times New Roman" w:eastAsia="宋体" w:cs="Times New Roman"/>
                <w:color w:val="auto"/>
                <w:sz w:val="21"/>
                <w:szCs w:val="24"/>
                <w:highlight w:val="none"/>
              </w:rPr>
              <w:t>——氮氧化物</w:t>
            </w:r>
            <w:r>
              <w:rPr>
                <w:rFonts w:hint="default" w:ascii="Times New Roman" w:hAnsi="Times New Roman" w:eastAsia="宋体" w:cs="Times New Roman"/>
                <w:color w:val="auto"/>
                <w:sz w:val="21"/>
                <w:szCs w:val="24"/>
                <w:highlight w:val="none"/>
                <w:lang w:val="en-US" w:eastAsia="zh-CN"/>
              </w:rPr>
              <w:t>排放</w:t>
            </w:r>
            <w:r>
              <w:rPr>
                <w:rFonts w:hint="default" w:ascii="Times New Roman" w:hAnsi="Times New Roman" w:eastAsia="宋体" w:cs="Times New Roman"/>
                <w:color w:val="auto"/>
                <w:sz w:val="21"/>
                <w:szCs w:val="24"/>
                <w:highlight w:val="none"/>
              </w:rPr>
              <w:t>量，t；</w:t>
            </w:r>
          </w:p>
          <w:p w14:paraId="012CABA6">
            <w:pPr>
              <w:keepNext w:val="0"/>
              <w:keepLines w:val="0"/>
              <w:pageBreakBefore w:val="0"/>
              <w:kinsoku/>
              <w:wordWrap/>
              <w:overflowPunct/>
              <w:topLinePunct w:val="0"/>
              <w:autoSpaceDE/>
              <w:autoSpaceDN/>
              <w:bidi w:val="0"/>
              <w:spacing w:line="360" w:lineRule="auto"/>
              <w:ind w:firstLine="1134"/>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i/>
                <w:color w:val="auto"/>
                <w:sz w:val="21"/>
                <w:szCs w:val="24"/>
                <w:highlight w:val="none"/>
              </w:rPr>
              <w:t>ρ</w:t>
            </w:r>
            <w:r>
              <w:rPr>
                <w:rFonts w:hint="default" w:ascii="Times New Roman" w:hAnsi="Times New Roman" w:eastAsia="宋体" w:cs="Times New Roman"/>
                <w:color w:val="auto"/>
                <w:sz w:val="21"/>
                <w:szCs w:val="24"/>
                <w:highlight w:val="none"/>
                <w:vertAlign w:val="subscript"/>
              </w:rPr>
              <w:t>NOx</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val="en-US" w:eastAsia="zh-CN"/>
              </w:rPr>
              <w:t>燃生物质</w:t>
            </w:r>
            <w:r>
              <w:rPr>
                <w:rFonts w:hint="default" w:ascii="Times New Roman" w:hAnsi="Times New Roman" w:eastAsia="宋体" w:cs="Times New Roman"/>
                <w:color w:val="auto"/>
                <w:sz w:val="21"/>
                <w:szCs w:val="24"/>
                <w:highlight w:val="none"/>
              </w:rPr>
              <w:t>锅炉炉膛出口氮氧化物质量浓度；</w:t>
            </w:r>
            <w:r>
              <w:rPr>
                <w:rFonts w:hint="eastAsia" w:ascii="Times New Roman" w:hAnsi="Times New Roman" w:eastAsia="宋体" w:cs="Times New Roman"/>
                <w:color w:val="auto"/>
                <w:szCs w:val="21"/>
                <w:lang w:val="en-US" w:eastAsia="zh-CN"/>
              </w:rPr>
              <w:t>根据《污染源源强核算技术指南 锅炉》（</w:t>
            </w:r>
            <w:r>
              <w:rPr>
                <w:rFonts w:hint="default" w:ascii="Times New Roman" w:hAnsi="Times New Roman" w:eastAsia="宋体" w:cs="Times New Roman"/>
                <w:color w:val="auto"/>
                <w:szCs w:val="21"/>
                <w:lang w:val="en-US" w:eastAsia="zh-CN"/>
              </w:rPr>
              <w:t>HJ991-2018</w:t>
            </w:r>
            <w:r>
              <w:rPr>
                <w:rFonts w:hint="eastAsia" w:ascii="Times New Roman" w:hAnsi="Times New Roman" w:eastAsia="宋体" w:cs="Times New Roman"/>
                <w:color w:val="auto"/>
                <w:szCs w:val="21"/>
                <w:lang w:val="en-US" w:eastAsia="zh-CN"/>
              </w:rPr>
              <w:t>）附</w:t>
            </w:r>
            <w:r>
              <w:rPr>
                <w:rFonts w:hint="default" w:ascii="Times New Roman" w:hAnsi="Times New Roman" w:eastAsia="宋体" w:cs="Times New Roman"/>
                <w:color w:val="auto"/>
                <w:szCs w:val="21"/>
                <w:lang w:val="en-US" w:eastAsia="zh-CN"/>
              </w:rPr>
              <w:t>B</w:t>
            </w:r>
            <w:r>
              <w:rPr>
                <w:rFonts w:hint="eastAsia" w:ascii="Times New Roman" w:hAnsi="Times New Roman" w:eastAsia="宋体" w:cs="Times New Roman"/>
                <w:color w:val="auto"/>
                <w:szCs w:val="21"/>
                <w:lang w:val="en-US" w:eastAsia="zh-CN"/>
              </w:rPr>
              <w:t>表</w:t>
            </w:r>
            <w:r>
              <w:rPr>
                <w:rFonts w:hint="default" w:ascii="Times New Roman" w:hAnsi="Times New Roman" w:eastAsia="宋体" w:cs="Times New Roman"/>
                <w:color w:val="auto"/>
                <w:szCs w:val="21"/>
                <w:lang w:val="en-US" w:eastAsia="zh-CN"/>
              </w:rPr>
              <w:t>B.4</w:t>
            </w:r>
            <w:r>
              <w:rPr>
                <w:rFonts w:hint="eastAsia" w:ascii="Times New Roman" w:hAnsi="Times New Roman" w:eastAsia="宋体" w:cs="Times New Roman"/>
                <w:color w:val="auto"/>
                <w:szCs w:val="21"/>
                <w:lang w:val="en-US" w:eastAsia="zh-CN"/>
              </w:rPr>
              <w:t>取</w:t>
            </w:r>
            <w:r>
              <w:rPr>
                <w:rFonts w:hint="eastAsia" w:cs="Times New Roman"/>
                <w:color w:val="auto"/>
                <w:spacing w:val="-4"/>
                <w:sz w:val="21"/>
                <w:szCs w:val="24"/>
                <w:highlight w:val="none"/>
                <w:lang w:val="en-US" w:eastAsia="zh-CN"/>
              </w:rPr>
              <w:t>200</w:t>
            </w:r>
            <w:r>
              <w:rPr>
                <w:rFonts w:hint="default" w:ascii="Times New Roman" w:hAnsi="Times New Roman" w:eastAsia="宋体" w:cs="Times New Roman"/>
                <w:color w:val="auto"/>
                <w:sz w:val="21"/>
                <w:szCs w:val="24"/>
                <w:highlight w:val="none"/>
              </w:rPr>
              <w:t>mg/m</w:t>
            </w:r>
            <w:r>
              <w:rPr>
                <w:rFonts w:hint="default" w:ascii="Times New Roman" w:hAnsi="Times New Roman" w:eastAsia="宋体" w:cs="Times New Roman"/>
                <w:color w:val="auto"/>
                <w:sz w:val="21"/>
                <w:szCs w:val="24"/>
                <w:highlight w:val="none"/>
                <w:vertAlign w:val="superscript"/>
              </w:rPr>
              <w:t>3</w:t>
            </w:r>
            <w:r>
              <w:rPr>
                <w:rFonts w:hint="default" w:ascii="Times New Roman" w:hAnsi="Times New Roman" w:eastAsia="宋体" w:cs="Times New Roman"/>
                <w:color w:val="auto"/>
                <w:spacing w:val="-4"/>
                <w:sz w:val="21"/>
                <w:szCs w:val="24"/>
                <w:highlight w:val="none"/>
              </w:rPr>
              <w:t>。</w:t>
            </w:r>
          </w:p>
          <w:p w14:paraId="74117779">
            <w:pPr>
              <w:keepNext w:val="0"/>
              <w:keepLines w:val="0"/>
              <w:pageBreakBefore w:val="0"/>
              <w:kinsoku/>
              <w:wordWrap/>
              <w:overflowPunct/>
              <w:topLinePunct w:val="0"/>
              <w:autoSpaceDE/>
              <w:autoSpaceDN/>
              <w:bidi w:val="0"/>
              <w:spacing w:line="360" w:lineRule="auto"/>
              <w:ind w:firstLine="1134"/>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Q——标态干烟气</w:t>
            </w:r>
            <w:r>
              <w:rPr>
                <w:rFonts w:hint="default" w:ascii="Times New Roman" w:hAnsi="Times New Roman" w:eastAsia="宋体" w:cs="Times New Roman"/>
                <w:color w:val="auto"/>
                <w:spacing w:val="-4"/>
                <w:sz w:val="21"/>
                <w:szCs w:val="24"/>
                <w:highlight w:val="none"/>
              </w:rPr>
              <w:t>产生</w:t>
            </w:r>
            <w:r>
              <w:rPr>
                <w:rFonts w:hint="default" w:ascii="Times New Roman" w:hAnsi="Times New Roman" w:eastAsia="宋体" w:cs="Times New Roman"/>
                <w:color w:val="auto"/>
                <w:sz w:val="21"/>
                <w:szCs w:val="24"/>
                <w:highlight w:val="none"/>
              </w:rPr>
              <w:t>量，m</w:t>
            </w:r>
            <w:r>
              <w:rPr>
                <w:rFonts w:hint="default" w:ascii="Times New Roman" w:hAnsi="Times New Roman" w:eastAsia="宋体" w:cs="Times New Roman"/>
                <w:color w:val="auto"/>
                <w:sz w:val="21"/>
                <w:szCs w:val="24"/>
                <w:highlight w:val="none"/>
                <w:vertAlign w:val="superscript"/>
              </w:rPr>
              <w:t>3</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highlight w:val="none"/>
                <w:lang w:val="en-US" w:eastAsia="zh-CN"/>
              </w:rPr>
              <w:t>22</w:t>
            </w:r>
            <w:r>
              <w:rPr>
                <w:rFonts w:hint="eastAsia" w:cs="Times New Roman"/>
                <w:color w:val="auto"/>
                <w:sz w:val="21"/>
                <w:highlight w:val="none"/>
                <w:lang w:val="en-US" w:eastAsia="zh-CN"/>
              </w:rPr>
              <w:t>135557.55</w:t>
            </w:r>
            <w:r>
              <w:rPr>
                <w:rFonts w:hint="default" w:ascii="Times New Roman" w:hAnsi="Times New Roman" w:eastAsia="宋体" w:cs="Times New Roman"/>
                <w:color w:val="auto"/>
                <w:sz w:val="21"/>
                <w:highlight w:val="none"/>
              </w:rPr>
              <w:t>Nm</w:t>
            </w:r>
            <w:r>
              <w:rPr>
                <w:rFonts w:hint="default" w:ascii="Times New Roman" w:hAnsi="Times New Roman" w:eastAsia="宋体" w:cs="Times New Roman"/>
                <w:color w:val="auto"/>
                <w:sz w:val="21"/>
                <w:highlight w:val="none"/>
                <w:vertAlign w:val="superscript"/>
              </w:rPr>
              <w:t>3</w:t>
            </w:r>
            <w:r>
              <w:rPr>
                <w:rFonts w:hint="default" w:ascii="Times New Roman" w:hAnsi="Times New Roman" w:eastAsia="宋体" w:cs="Times New Roman"/>
                <w:color w:val="auto"/>
                <w:sz w:val="21"/>
                <w:highlight w:val="none"/>
              </w:rPr>
              <w:t>/</w:t>
            </w:r>
            <w:r>
              <w:rPr>
                <w:rFonts w:hint="default" w:ascii="Times New Roman" w:hAnsi="Times New Roman" w:eastAsia="宋体" w:cs="Times New Roman"/>
                <w:color w:val="auto"/>
                <w:sz w:val="21"/>
                <w:highlight w:val="none"/>
                <w:lang w:val="en-US" w:eastAsia="zh-CN"/>
              </w:rPr>
              <w:t>a</w:t>
            </w:r>
          </w:p>
          <w:p w14:paraId="32BF11AE">
            <w:pPr>
              <w:keepNext w:val="0"/>
              <w:keepLines w:val="0"/>
              <w:pageBreakBefore w:val="0"/>
              <w:kinsoku/>
              <w:wordWrap/>
              <w:overflowPunct/>
              <w:topLinePunct w:val="0"/>
              <w:autoSpaceDE/>
              <w:autoSpaceDN/>
              <w:bidi w:val="0"/>
              <w:spacing w:line="360" w:lineRule="auto"/>
              <w:ind w:firstLine="1134"/>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i/>
                <w:iCs/>
                <w:color w:val="auto"/>
                <w:sz w:val="21"/>
                <w:szCs w:val="24"/>
                <w:highlight w:val="none"/>
              </w:rPr>
              <w:t>η</w:t>
            </w:r>
            <w:r>
              <w:rPr>
                <w:rFonts w:hint="default" w:ascii="Times New Roman" w:hAnsi="Times New Roman" w:eastAsia="宋体" w:cs="Times New Roman"/>
                <w:color w:val="auto"/>
                <w:sz w:val="21"/>
                <w:szCs w:val="24"/>
                <w:highlight w:val="none"/>
                <w:vertAlign w:val="subscript"/>
              </w:rPr>
              <w:t>NOx</w:t>
            </w:r>
            <w:r>
              <w:rPr>
                <w:rFonts w:hint="default" w:ascii="Times New Roman" w:hAnsi="Times New Roman" w:eastAsia="宋体" w:cs="Times New Roman"/>
                <w:color w:val="auto"/>
                <w:sz w:val="21"/>
                <w:szCs w:val="24"/>
                <w:highlight w:val="none"/>
              </w:rPr>
              <w:t>——脱硝效率，%。</w:t>
            </w:r>
            <w:r>
              <w:rPr>
                <w:rFonts w:hint="default" w:ascii="Times New Roman" w:hAnsi="Times New Roman" w:eastAsia="宋体" w:cs="Times New Roman"/>
                <w:color w:val="auto"/>
                <w:sz w:val="21"/>
                <w:szCs w:val="24"/>
                <w:highlight w:val="none"/>
                <w:lang w:val="en-US" w:eastAsia="zh-CN"/>
              </w:rPr>
              <w:t>本项目无脱硝设施，因此本次评价取0。</w:t>
            </w:r>
          </w:p>
          <w:p w14:paraId="28C25A4B">
            <w:pPr>
              <w:pStyle w:val="260"/>
              <w:keepNext w:val="0"/>
              <w:keepLines w:val="0"/>
              <w:pageBreakBefore w:val="0"/>
              <w:kinsoku/>
              <w:wordWrap/>
              <w:overflowPunct/>
              <w:topLinePunct w:val="0"/>
              <w:autoSpaceDE/>
              <w:autoSpaceDN/>
              <w:bidi w:val="0"/>
              <w:spacing w:line="360" w:lineRule="auto"/>
              <w:ind w:firstLine="464"/>
              <w:jc w:val="both"/>
              <w:textAlignment w:val="auto"/>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rPr>
              <w:t>经计算，本项目锅炉烟气中</w:t>
            </w:r>
            <w:r>
              <w:rPr>
                <w:rFonts w:hint="default" w:ascii="Times New Roman" w:hAnsi="Times New Roman" w:eastAsia="宋体" w:cs="Times New Roman"/>
                <w:color w:val="auto"/>
                <w:sz w:val="21"/>
                <w:szCs w:val="24"/>
                <w:highlight w:val="none"/>
                <w:lang w:val="en-US" w:eastAsia="zh-CN"/>
              </w:rPr>
              <w:t>氮氧化物</w:t>
            </w:r>
            <w:r>
              <w:rPr>
                <w:rFonts w:hint="default" w:ascii="Times New Roman" w:hAnsi="Times New Roman" w:eastAsia="宋体" w:cs="Times New Roman"/>
                <w:color w:val="auto"/>
                <w:sz w:val="21"/>
                <w:szCs w:val="24"/>
                <w:highlight w:val="none"/>
              </w:rPr>
              <w:t>排放量为</w:t>
            </w:r>
            <w:r>
              <w:rPr>
                <w:rFonts w:hint="eastAsia" w:cs="Times New Roman"/>
                <w:color w:val="auto"/>
                <w:sz w:val="21"/>
                <w:szCs w:val="24"/>
                <w:highlight w:val="none"/>
                <w:lang w:val="en-US" w:eastAsia="zh-CN"/>
              </w:rPr>
              <w:t>4.42</w:t>
            </w:r>
            <w:r>
              <w:rPr>
                <w:rFonts w:hint="default" w:ascii="Times New Roman" w:hAnsi="Times New Roman" w:eastAsia="宋体" w:cs="Times New Roman"/>
                <w:color w:val="auto"/>
                <w:sz w:val="21"/>
                <w:szCs w:val="24"/>
                <w:highlight w:val="none"/>
                <w:lang w:val="en-US" w:eastAsia="zh-CN"/>
              </w:rPr>
              <w:t>t</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val="en-US" w:eastAsia="zh-CN"/>
              </w:rPr>
              <w:t>a</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val="en-US" w:eastAsia="zh-CN"/>
              </w:rPr>
              <w:t>排放速率为</w:t>
            </w:r>
            <w:r>
              <w:rPr>
                <w:rFonts w:hint="eastAsia" w:cs="Times New Roman"/>
                <w:color w:val="auto"/>
                <w:sz w:val="21"/>
                <w:szCs w:val="24"/>
                <w:highlight w:val="none"/>
                <w:lang w:val="en-US" w:eastAsia="zh-CN"/>
              </w:rPr>
              <w:t>1.02</w:t>
            </w:r>
            <w:r>
              <w:rPr>
                <w:rFonts w:hint="default" w:ascii="Times New Roman" w:hAnsi="Times New Roman" w:eastAsia="宋体" w:cs="Times New Roman"/>
                <w:color w:val="auto"/>
                <w:sz w:val="21"/>
                <w:szCs w:val="24"/>
                <w:highlight w:val="none"/>
                <w:lang w:val="en-US" w:eastAsia="zh-CN"/>
              </w:rPr>
              <w:t>1kg/h</w:t>
            </w:r>
            <w:r>
              <w:rPr>
                <w:rFonts w:hint="default" w:ascii="Times New Roman" w:hAnsi="Times New Roman" w:eastAsia="宋体" w:cs="Times New Roman"/>
                <w:color w:val="auto"/>
                <w:sz w:val="21"/>
                <w:szCs w:val="24"/>
                <w:highlight w:val="none"/>
              </w:rPr>
              <w:t>，排放浓度</w:t>
            </w:r>
            <w:r>
              <w:rPr>
                <w:rFonts w:hint="eastAsia" w:cs="Times New Roman"/>
                <w:color w:val="auto"/>
                <w:sz w:val="21"/>
                <w:szCs w:val="24"/>
                <w:highlight w:val="none"/>
                <w:lang w:val="en-US" w:eastAsia="zh-CN"/>
              </w:rPr>
              <w:t>20</w:t>
            </w:r>
            <w:r>
              <w:rPr>
                <w:rFonts w:hint="default" w:ascii="Times New Roman" w:hAnsi="Times New Roman" w:eastAsia="宋体" w:cs="Times New Roman"/>
                <w:color w:val="auto"/>
                <w:sz w:val="21"/>
                <w:szCs w:val="24"/>
                <w:highlight w:val="none"/>
                <w:lang w:val="en-US" w:eastAsia="zh-CN"/>
              </w:rPr>
              <w:t>0</w:t>
            </w:r>
            <w:r>
              <w:rPr>
                <w:rFonts w:hint="default" w:ascii="Times New Roman" w:hAnsi="Times New Roman" w:eastAsia="宋体" w:cs="Times New Roman"/>
                <w:color w:val="auto"/>
                <w:sz w:val="21"/>
                <w:szCs w:val="24"/>
                <w:highlight w:val="none"/>
              </w:rPr>
              <w:t>mg/m</w:t>
            </w:r>
            <w:r>
              <w:rPr>
                <w:rFonts w:hint="default" w:ascii="Times New Roman" w:hAnsi="Times New Roman" w:eastAsia="宋体" w:cs="Times New Roman"/>
                <w:color w:val="auto"/>
                <w:sz w:val="21"/>
                <w:szCs w:val="24"/>
                <w:highlight w:val="none"/>
                <w:vertAlign w:val="superscript"/>
              </w:rPr>
              <w:t>3</w:t>
            </w:r>
            <w:r>
              <w:rPr>
                <w:rFonts w:hint="default" w:ascii="Times New Roman" w:hAnsi="Times New Roman" w:eastAsia="宋体" w:cs="Times New Roman"/>
                <w:color w:val="auto"/>
                <w:sz w:val="21"/>
                <w:szCs w:val="24"/>
                <w:highlight w:val="none"/>
              </w:rPr>
              <w:t>。</w:t>
            </w:r>
          </w:p>
          <w:p w14:paraId="5AE56C5B">
            <w:pPr>
              <w:keepNext w:val="0"/>
              <w:keepLines w:val="0"/>
              <w:pageBreakBefore w:val="0"/>
              <w:widowControl w:val="0"/>
              <w:kinsoku/>
              <w:wordWrap/>
              <w:overflowPunct/>
              <w:topLinePunct w:val="0"/>
              <w:autoSpaceDE/>
              <w:autoSpaceDN/>
              <w:bidi w:val="0"/>
              <w:adjustRightInd/>
              <w:snapToGrid/>
              <w:spacing w:line="360" w:lineRule="auto"/>
              <w:ind w:firstLine="384" w:firstLineChars="183"/>
              <w:textAlignment w:val="auto"/>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val="en-US" w:eastAsia="zh-CN"/>
              </w:rPr>
              <w:t>2</w:t>
            </w:r>
            <w:r>
              <w:rPr>
                <w:rFonts w:hint="default" w:ascii="Times New Roman" w:hAnsi="Times New Roman" w:eastAsia="宋体" w:cs="Times New Roman"/>
                <w:color w:val="auto"/>
                <w:sz w:val="21"/>
                <w:szCs w:val="24"/>
                <w:highlight w:val="none"/>
              </w:rPr>
              <w:t>）</w:t>
            </w:r>
            <w:r>
              <w:rPr>
                <w:rFonts w:hint="eastAsia" w:ascii="Times New Roman" w:hAnsi="Times New Roman" w:cs="Times New Roman"/>
                <w:color w:val="auto"/>
                <w:sz w:val="21"/>
                <w:szCs w:val="24"/>
                <w:highlight w:val="none"/>
                <w:lang w:val="en-US" w:eastAsia="zh-CN"/>
              </w:rPr>
              <w:t>无组织废气</w:t>
            </w:r>
          </w:p>
          <w:p w14:paraId="008C191D">
            <w:pPr>
              <w:pStyle w:val="124"/>
              <w:keepNext w:val="0"/>
              <w:keepLines w:val="0"/>
              <w:pageBreakBefore w:val="0"/>
              <w:kinsoku/>
              <w:wordWrap/>
              <w:overflowPunct/>
              <w:topLinePunct w:val="0"/>
              <w:autoSpaceDE/>
              <w:autoSpaceDN/>
              <w:bidi w:val="0"/>
              <w:adjustRightInd/>
              <w:snapToGrid/>
              <w:spacing w:line="360" w:lineRule="auto"/>
              <w:ind w:firstLine="420"/>
              <w:jc w:val="left"/>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根据《污染源源强核算技术指南 锅炉》（</w:t>
            </w:r>
            <w:r>
              <w:rPr>
                <w:rFonts w:hint="default" w:ascii="Times New Roman" w:hAnsi="Times New Roman" w:cs="Times New Roman"/>
                <w:color w:val="auto"/>
                <w:sz w:val="21"/>
                <w:szCs w:val="21"/>
                <w:lang w:val="en-US" w:eastAsia="zh-CN"/>
              </w:rPr>
              <w:t>HJ 991-2018</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val="en-US" w:eastAsia="zh-CN"/>
              </w:rPr>
              <w:t>4.4.2.1“</w:t>
            </w:r>
            <w:r>
              <w:rPr>
                <w:rFonts w:hint="eastAsia" w:ascii="Times New Roman" w:hAnsi="Times New Roman" w:cs="Times New Roman"/>
                <w:color w:val="auto"/>
                <w:sz w:val="21"/>
                <w:szCs w:val="21"/>
                <w:lang w:val="en-US" w:eastAsia="zh-CN"/>
              </w:rPr>
              <w:t>料</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堆场采用全封闭型式、储罐采用密闭容器的，废气无组织源强可忽略不计</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，本项目锅炉房和库房均为封闭式，因此产生的无组织源强可忽略不计，对外环境影响较小。</w:t>
            </w:r>
          </w:p>
          <w:p w14:paraId="290A949F">
            <w:pPr>
              <w:pStyle w:val="124"/>
              <w:keepNext w:val="0"/>
              <w:keepLines w:val="0"/>
              <w:pageBreakBefore w:val="0"/>
              <w:kinsoku/>
              <w:wordWrap/>
              <w:overflowPunct/>
              <w:topLinePunct w:val="0"/>
              <w:autoSpaceDE/>
              <w:autoSpaceDN/>
              <w:bidi w:val="0"/>
              <w:adjustRightInd/>
              <w:snapToGrid/>
              <w:spacing w:line="360" w:lineRule="auto"/>
              <w:ind w:firstLine="420"/>
              <w:jc w:val="left"/>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根据《排污许可证申请与核发技术规范 锅炉》（</w:t>
            </w:r>
            <w:r>
              <w:rPr>
                <w:rFonts w:hint="default" w:ascii="Times New Roman" w:hAnsi="Times New Roman" w:cs="Times New Roman"/>
                <w:color w:val="auto"/>
                <w:sz w:val="21"/>
                <w:szCs w:val="21"/>
                <w:lang w:val="en-US" w:eastAsia="zh-CN"/>
              </w:rPr>
              <w:t>HJ953-2018</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表</w:t>
            </w:r>
            <w:r>
              <w:rPr>
                <w:rFonts w:hint="default" w:ascii="Times New Roman" w:hAnsi="Times New Roman" w:cs="Times New Roman"/>
                <w:color w:val="auto"/>
                <w:sz w:val="21"/>
                <w:szCs w:val="21"/>
                <w:lang w:val="en-US" w:eastAsia="zh-CN"/>
              </w:rPr>
              <w:t>8</w:t>
            </w:r>
            <w:r>
              <w:rPr>
                <w:rFonts w:hint="eastAsia" w:ascii="Times New Roman" w:hAnsi="Times New Roman" w:cs="Times New Roman"/>
                <w:color w:val="auto"/>
                <w:sz w:val="21"/>
                <w:szCs w:val="21"/>
                <w:lang w:val="en-US" w:eastAsia="zh-CN"/>
              </w:rPr>
              <w:t>锅炉排污单位无组织排放控制要求</w:t>
            </w: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本项目锅炉房均为封闭式，燃料存于库房、灰渣存于锅炉房内；燃料及灰渣运输车采取加盖苫布或密闭等措施，并按照规定的路线和时间行驶；厂区裸露地面采用绿化等抑尘措施，道路进行硬化并定期清扫、洒水等。</w:t>
            </w:r>
          </w:p>
          <w:p w14:paraId="38F6BB5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b/>
                <w:color w:val="auto"/>
                <w:kern w:val="2"/>
                <w:sz w:val="21"/>
                <w:szCs w:val="22"/>
                <w:highlight w:val="none"/>
                <w:lang w:val="en-US" w:eastAsia="zh-CN" w:bidi="ar-SA"/>
              </w:rPr>
            </w:pPr>
            <w:r>
              <w:rPr>
                <w:rFonts w:hint="default" w:ascii="Times New Roman" w:hAnsi="Times New Roman" w:eastAsia="宋体" w:cs="Times New Roman"/>
                <w:b/>
                <w:color w:val="auto"/>
                <w:kern w:val="2"/>
                <w:sz w:val="21"/>
                <w:szCs w:val="22"/>
                <w:highlight w:val="none"/>
                <w:lang w:val="en-US" w:eastAsia="zh-CN" w:bidi="ar-SA"/>
              </w:rPr>
              <w:t>表4-2  排放口基本情况表</w:t>
            </w:r>
          </w:p>
          <w:tbl>
            <w:tblPr>
              <w:tblStyle w:val="42"/>
              <w:tblW w:w="835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110"/>
              <w:gridCol w:w="989"/>
              <w:gridCol w:w="790"/>
              <w:gridCol w:w="717"/>
              <w:gridCol w:w="864"/>
              <w:gridCol w:w="1522"/>
              <w:gridCol w:w="1638"/>
            </w:tblGrid>
            <w:tr w14:paraId="1B9C7E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431" w:type="pct"/>
                  <w:vMerge w:val="restart"/>
                  <w:noWrap w:val="0"/>
                  <w:vAlign w:val="center"/>
                </w:tcPr>
                <w:p w14:paraId="5F64A05F">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eastAsia="宋体" w:cs="Times New Roman"/>
                      <w:bCs/>
                      <w:color w:val="auto"/>
                      <w:kern w:val="0"/>
                      <w:sz w:val="21"/>
                      <w:szCs w:val="21"/>
                      <w:highlight w:val="none"/>
                    </w:rPr>
                    <w:t>序号</w:t>
                  </w:r>
                </w:p>
              </w:tc>
              <w:tc>
                <w:tcPr>
                  <w:tcW w:w="664" w:type="pct"/>
                  <w:vMerge w:val="restart"/>
                  <w:noWrap w:val="0"/>
                  <w:vAlign w:val="center"/>
                </w:tcPr>
                <w:p w14:paraId="4F71B4D5">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eastAsia="宋体" w:cs="Times New Roman"/>
                      <w:bCs/>
                      <w:color w:val="auto"/>
                      <w:kern w:val="0"/>
                      <w:sz w:val="21"/>
                      <w:szCs w:val="21"/>
                      <w:highlight w:val="none"/>
                    </w:rPr>
                    <w:t>编号及名称</w:t>
                  </w:r>
                </w:p>
              </w:tc>
              <w:tc>
                <w:tcPr>
                  <w:tcW w:w="592" w:type="pct"/>
                  <w:vMerge w:val="restart"/>
                  <w:noWrap w:val="0"/>
                  <w:vAlign w:val="center"/>
                </w:tcPr>
                <w:p w14:paraId="4721DC52">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eastAsia="宋体" w:cs="Times New Roman"/>
                      <w:bCs/>
                      <w:color w:val="auto"/>
                      <w:kern w:val="0"/>
                      <w:sz w:val="21"/>
                      <w:szCs w:val="21"/>
                      <w:highlight w:val="none"/>
                    </w:rPr>
                    <w:t>类型</w:t>
                  </w:r>
                </w:p>
              </w:tc>
              <w:tc>
                <w:tcPr>
                  <w:tcW w:w="473" w:type="pct"/>
                  <w:vMerge w:val="restart"/>
                  <w:noWrap w:val="0"/>
                  <w:vAlign w:val="center"/>
                </w:tcPr>
                <w:p w14:paraId="43D05312">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cs="Times New Roman" w:eastAsiaTheme="minorEastAsia"/>
                      <w:color w:val="auto"/>
                      <w:szCs w:val="21"/>
                    </w:rPr>
                    <w:t>内径/m</w:t>
                  </w:r>
                </w:p>
              </w:tc>
              <w:tc>
                <w:tcPr>
                  <w:tcW w:w="429" w:type="pct"/>
                  <w:vMerge w:val="restart"/>
                  <w:noWrap w:val="0"/>
                  <w:vAlign w:val="center"/>
                </w:tcPr>
                <w:p w14:paraId="38364BD6">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cs="Times New Roman" w:eastAsiaTheme="minorEastAsia"/>
                      <w:color w:val="auto"/>
                      <w:szCs w:val="21"/>
                    </w:rPr>
                    <w:t>温度/℃</w:t>
                  </w:r>
                </w:p>
              </w:tc>
              <w:tc>
                <w:tcPr>
                  <w:tcW w:w="517" w:type="pct"/>
                  <w:vMerge w:val="restart"/>
                  <w:noWrap w:val="0"/>
                  <w:vAlign w:val="center"/>
                </w:tcPr>
                <w:p w14:paraId="71DEFC85">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eastAsia="宋体" w:cs="Times New Roman"/>
                      <w:bCs/>
                      <w:color w:val="auto"/>
                      <w:kern w:val="0"/>
                      <w:sz w:val="21"/>
                      <w:szCs w:val="21"/>
                      <w:highlight w:val="none"/>
                    </w:rPr>
                    <w:t>高度（m）</w:t>
                  </w:r>
                </w:p>
              </w:tc>
              <w:tc>
                <w:tcPr>
                  <w:tcW w:w="1891" w:type="pct"/>
                  <w:gridSpan w:val="2"/>
                  <w:noWrap w:val="0"/>
                  <w:vAlign w:val="center"/>
                </w:tcPr>
                <w:p w14:paraId="6AD65778">
                  <w:pPr>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eastAsia="宋体" w:cs="Times New Roman"/>
                      <w:bCs/>
                      <w:color w:val="auto"/>
                      <w:kern w:val="0"/>
                      <w:sz w:val="21"/>
                      <w:szCs w:val="21"/>
                      <w:highlight w:val="none"/>
                    </w:rPr>
                    <w:t>地理坐标</w:t>
                  </w:r>
                  <w:r>
                    <w:rPr>
                      <w:rFonts w:hint="default" w:ascii="Times New Roman" w:hAnsi="Times New Roman" w:eastAsia="宋体" w:cs="Times New Roman"/>
                      <w:bCs/>
                      <w:color w:val="auto"/>
                      <w:kern w:val="0"/>
                      <w:sz w:val="21"/>
                      <w:szCs w:val="21"/>
                      <w:highlight w:val="none"/>
                      <w:lang w:val="en-US" w:eastAsia="zh-CN"/>
                    </w:rPr>
                    <w:t>/°</w:t>
                  </w:r>
                </w:p>
              </w:tc>
            </w:tr>
            <w:tr w14:paraId="7CCFA2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431" w:type="pct"/>
                  <w:vMerge w:val="continue"/>
                  <w:noWrap w:val="0"/>
                  <w:vAlign w:val="center"/>
                </w:tcPr>
                <w:p w14:paraId="0190E4D2">
                  <w:pPr>
                    <w:jc w:val="center"/>
                    <w:rPr>
                      <w:rFonts w:hint="default" w:ascii="Times New Roman" w:hAnsi="Times New Roman" w:eastAsia="宋体" w:cs="Times New Roman"/>
                      <w:color w:val="auto"/>
                      <w:sz w:val="21"/>
                      <w:szCs w:val="21"/>
                      <w:highlight w:val="none"/>
                    </w:rPr>
                  </w:pPr>
                </w:p>
              </w:tc>
              <w:tc>
                <w:tcPr>
                  <w:tcW w:w="664" w:type="pct"/>
                  <w:vMerge w:val="continue"/>
                  <w:noWrap w:val="0"/>
                  <w:vAlign w:val="center"/>
                </w:tcPr>
                <w:p w14:paraId="641089FC">
                  <w:pPr>
                    <w:jc w:val="center"/>
                    <w:rPr>
                      <w:rFonts w:hint="default" w:ascii="Times New Roman" w:hAnsi="Times New Roman" w:eastAsia="宋体" w:cs="Times New Roman"/>
                      <w:color w:val="auto"/>
                      <w:sz w:val="21"/>
                      <w:szCs w:val="21"/>
                      <w:highlight w:val="none"/>
                    </w:rPr>
                  </w:pPr>
                </w:p>
              </w:tc>
              <w:tc>
                <w:tcPr>
                  <w:tcW w:w="592" w:type="pct"/>
                  <w:vMerge w:val="continue"/>
                  <w:noWrap w:val="0"/>
                  <w:vAlign w:val="center"/>
                </w:tcPr>
                <w:p w14:paraId="37B2D95E">
                  <w:pPr>
                    <w:jc w:val="center"/>
                    <w:rPr>
                      <w:rFonts w:hint="default" w:ascii="Times New Roman" w:hAnsi="Times New Roman" w:eastAsia="宋体" w:cs="Times New Roman"/>
                      <w:color w:val="auto"/>
                      <w:sz w:val="21"/>
                      <w:szCs w:val="21"/>
                      <w:highlight w:val="none"/>
                    </w:rPr>
                  </w:pPr>
                </w:p>
              </w:tc>
              <w:tc>
                <w:tcPr>
                  <w:tcW w:w="473" w:type="pct"/>
                  <w:vMerge w:val="continue"/>
                  <w:noWrap w:val="0"/>
                  <w:vAlign w:val="center"/>
                </w:tcPr>
                <w:p w14:paraId="27D266C1">
                  <w:pPr>
                    <w:jc w:val="center"/>
                    <w:rPr>
                      <w:rFonts w:hint="default" w:ascii="Times New Roman" w:hAnsi="Times New Roman" w:eastAsia="宋体" w:cs="Times New Roman"/>
                      <w:color w:val="auto"/>
                      <w:sz w:val="21"/>
                      <w:szCs w:val="21"/>
                      <w:highlight w:val="none"/>
                    </w:rPr>
                  </w:pPr>
                </w:p>
              </w:tc>
              <w:tc>
                <w:tcPr>
                  <w:tcW w:w="429" w:type="pct"/>
                  <w:vMerge w:val="continue"/>
                  <w:noWrap w:val="0"/>
                  <w:vAlign w:val="center"/>
                </w:tcPr>
                <w:p w14:paraId="00D6224E">
                  <w:pPr>
                    <w:jc w:val="center"/>
                    <w:rPr>
                      <w:rFonts w:hint="default" w:ascii="Times New Roman" w:hAnsi="Times New Roman" w:eastAsia="宋体" w:cs="Times New Roman"/>
                      <w:color w:val="auto"/>
                      <w:sz w:val="21"/>
                      <w:szCs w:val="21"/>
                      <w:highlight w:val="none"/>
                    </w:rPr>
                  </w:pPr>
                </w:p>
              </w:tc>
              <w:tc>
                <w:tcPr>
                  <w:tcW w:w="517" w:type="pct"/>
                  <w:vMerge w:val="continue"/>
                  <w:noWrap w:val="0"/>
                  <w:vAlign w:val="center"/>
                </w:tcPr>
                <w:p w14:paraId="02DE1D83">
                  <w:pPr>
                    <w:jc w:val="center"/>
                    <w:rPr>
                      <w:rFonts w:hint="default" w:ascii="Times New Roman" w:hAnsi="Times New Roman" w:eastAsia="宋体" w:cs="Times New Roman"/>
                      <w:color w:val="auto"/>
                      <w:sz w:val="21"/>
                      <w:szCs w:val="21"/>
                      <w:highlight w:val="none"/>
                    </w:rPr>
                  </w:pPr>
                </w:p>
              </w:tc>
              <w:tc>
                <w:tcPr>
                  <w:tcW w:w="911" w:type="pct"/>
                  <w:noWrap w:val="0"/>
                  <w:vAlign w:val="center"/>
                </w:tcPr>
                <w:p w14:paraId="004C25DA">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eastAsia="宋体" w:cs="Times New Roman"/>
                      <w:bCs/>
                      <w:color w:val="auto"/>
                      <w:kern w:val="0"/>
                      <w:sz w:val="21"/>
                      <w:szCs w:val="21"/>
                      <w:highlight w:val="none"/>
                    </w:rPr>
                    <w:t>经度</w:t>
                  </w:r>
                </w:p>
              </w:tc>
              <w:tc>
                <w:tcPr>
                  <w:tcW w:w="979" w:type="pct"/>
                  <w:noWrap w:val="0"/>
                  <w:vAlign w:val="center"/>
                </w:tcPr>
                <w:p w14:paraId="66A68769">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eastAsia="宋体" w:cs="Times New Roman"/>
                      <w:bCs/>
                      <w:color w:val="auto"/>
                      <w:kern w:val="0"/>
                      <w:sz w:val="21"/>
                      <w:szCs w:val="21"/>
                      <w:highlight w:val="none"/>
                    </w:rPr>
                    <w:t>纬度</w:t>
                  </w:r>
                </w:p>
              </w:tc>
            </w:tr>
            <w:tr w14:paraId="2DB387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431" w:type="pct"/>
                  <w:noWrap w:val="0"/>
                  <w:vAlign w:val="center"/>
                </w:tcPr>
                <w:p w14:paraId="12320AEA">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1</w:t>
                  </w:r>
                </w:p>
              </w:tc>
              <w:tc>
                <w:tcPr>
                  <w:tcW w:w="664" w:type="pct"/>
                  <w:noWrap w:val="0"/>
                  <w:vAlign w:val="center"/>
                </w:tcPr>
                <w:p w14:paraId="3F291C00">
                  <w:pPr>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rPr>
                    <w:t>烟囱</w:t>
                  </w:r>
                  <w:r>
                    <w:rPr>
                      <w:rFonts w:hint="default" w:ascii="Times New Roman" w:hAnsi="Times New Roman" w:eastAsia="宋体" w:cs="Times New Roman"/>
                      <w:color w:val="auto"/>
                      <w:kern w:val="0"/>
                      <w:sz w:val="21"/>
                      <w:szCs w:val="21"/>
                      <w:highlight w:val="none"/>
                      <w:lang w:val="en-US" w:eastAsia="zh-CN"/>
                    </w:rPr>
                    <w:t>/DA001</w:t>
                  </w:r>
                </w:p>
              </w:tc>
              <w:tc>
                <w:tcPr>
                  <w:tcW w:w="592" w:type="pct"/>
                  <w:noWrap w:val="0"/>
                  <w:vAlign w:val="center"/>
                </w:tcPr>
                <w:p w14:paraId="12E08F50">
                  <w:pPr>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一般排放口</w:t>
                  </w:r>
                </w:p>
              </w:tc>
              <w:tc>
                <w:tcPr>
                  <w:tcW w:w="473" w:type="pct"/>
                  <w:noWrap w:val="0"/>
                  <w:vAlign w:val="center"/>
                </w:tcPr>
                <w:p w14:paraId="47AC7FB1">
                  <w:pPr>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1.0</w:t>
                  </w:r>
                </w:p>
              </w:tc>
              <w:tc>
                <w:tcPr>
                  <w:tcW w:w="429" w:type="pct"/>
                  <w:noWrap w:val="0"/>
                  <w:vAlign w:val="center"/>
                </w:tcPr>
                <w:p w14:paraId="2F139875">
                  <w:pPr>
                    <w:jc w:val="center"/>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100</w:t>
                  </w:r>
                </w:p>
              </w:tc>
              <w:tc>
                <w:tcPr>
                  <w:tcW w:w="517" w:type="pct"/>
                  <w:noWrap w:val="0"/>
                  <w:vAlign w:val="center"/>
                </w:tcPr>
                <w:p w14:paraId="4B3BD6B8">
                  <w:pPr>
                    <w:jc w:val="center"/>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35</w:t>
                  </w:r>
                </w:p>
              </w:tc>
              <w:tc>
                <w:tcPr>
                  <w:tcW w:w="911" w:type="pct"/>
                  <w:noWrap w:val="0"/>
                  <w:vAlign w:val="center"/>
                </w:tcPr>
                <w:p w14:paraId="7C193AD3">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127.986253604</w:t>
                  </w:r>
                </w:p>
              </w:tc>
              <w:tc>
                <w:tcPr>
                  <w:tcW w:w="979" w:type="pct"/>
                  <w:noWrap w:val="0"/>
                  <w:vAlign w:val="center"/>
                </w:tcPr>
                <w:p w14:paraId="0C25E5E6">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46.973998151</w:t>
                  </w:r>
                </w:p>
              </w:tc>
            </w:tr>
          </w:tbl>
          <w:p w14:paraId="484C9638">
            <w:pPr>
              <w:pStyle w:val="124"/>
              <w:keepNext w:val="0"/>
              <w:keepLines w:val="0"/>
              <w:pageBreakBefore w:val="0"/>
              <w:suppressLineNumbers w:val="0"/>
              <w:kinsoku/>
              <w:overflowPunct/>
              <w:topLinePunct w:val="0"/>
              <w:bidi w:val="0"/>
              <w:spacing w:before="0" w:beforeAutospacing="0" w:after="0" w:afterAutospacing="0" w:line="360" w:lineRule="auto"/>
              <w:ind w:left="0" w:right="0" w:firstLine="420"/>
              <w:jc w:val="left"/>
              <w:rPr>
                <w:rFonts w:hint="default" w:ascii="Times New Roman" w:hAnsi="Times New Roman" w:eastAsia="宋体"/>
                <w:color w:val="auto"/>
                <w:sz w:val="21"/>
                <w:szCs w:val="21"/>
              </w:rPr>
            </w:pP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lang w:val="en-US" w:eastAsia="zh-CN"/>
              </w:rPr>
              <w:t>3</w:t>
            </w: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olor w:val="auto"/>
                <w:sz w:val="21"/>
                <w:szCs w:val="21"/>
              </w:rPr>
              <w:t>本项目非正常工况</w:t>
            </w:r>
          </w:p>
          <w:p w14:paraId="7448E8C0">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本项目非正常排放情况主要是除尘器发生故障，</w:t>
            </w:r>
            <w:r>
              <w:rPr>
                <w:rFonts w:hint="eastAsia" w:ascii="Times New Roman" w:hAnsi="Times New Roman" w:eastAsia="宋体"/>
                <w:color w:val="auto"/>
                <w:sz w:val="21"/>
                <w:szCs w:val="21"/>
                <w:highlight w:val="none"/>
              </w:rPr>
              <w:t>废气处理</w:t>
            </w:r>
            <w:r>
              <w:rPr>
                <w:rFonts w:hint="default" w:ascii="Times New Roman" w:hAnsi="Times New Roman" w:eastAsia="宋体"/>
                <w:color w:val="auto"/>
                <w:sz w:val="21"/>
                <w:szCs w:val="21"/>
                <w:highlight w:val="none"/>
              </w:rPr>
              <w:t>效率降低，使得锅炉废气</w:t>
            </w:r>
            <w:r>
              <w:rPr>
                <w:rFonts w:hint="eastAsia" w:ascii="Times New Roman" w:hAnsi="Times New Roman"/>
                <w:color w:val="auto"/>
                <w:sz w:val="21"/>
                <w:szCs w:val="21"/>
                <w:highlight w:val="none"/>
                <w:lang w:val="en-US" w:eastAsia="zh-CN"/>
              </w:rPr>
              <w:t>颗粒物</w:t>
            </w:r>
            <w:r>
              <w:rPr>
                <w:rFonts w:hint="eastAsia" w:ascii="Times New Roman" w:hAnsi="Times New Roman" w:eastAsia="宋体"/>
                <w:color w:val="auto"/>
                <w:sz w:val="21"/>
                <w:szCs w:val="21"/>
                <w:highlight w:val="none"/>
              </w:rPr>
              <w:t>排放量增加</w:t>
            </w:r>
            <w:r>
              <w:rPr>
                <w:rFonts w:hint="default" w:ascii="Times New Roman" w:hAnsi="Times New Roman" w:eastAsia="宋体"/>
                <w:color w:val="auto"/>
                <w:sz w:val="21"/>
                <w:szCs w:val="21"/>
                <w:highlight w:val="none"/>
              </w:rPr>
              <w:t>。参照《</w:t>
            </w:r>
            <w:bookmarkStart w:id="49" w:name="OLE_LINK10"/>
            <w:bookmarkStart w:id="50" w:name="OLE_LINK9"/>
            <w:r>
              <w:rPr>
                <w:rFonts w:hint="default" w:ascii="Times New Roman" w:hAnsi="Times New Roman" w:eastAsia="宋体"/>
                <w:color w:val="auto"/>
                <w:sz w:val="21"/>
                <w:szCs w:val="21"/>
                <w:highlight w:val="none"/>
              </w:rPr>
              <w:t>污染源源强核算技术指南-火电</w:t>
            </w:r>
            <w:bookmarkEnd w:id="49"/>
            <w:bookmarkEnd w:id="50"/>
            <w:r>
              <w:rPr>
                <w:rFonts w:hint="default" w:ascii="Times New Roman" w:hAnsi="Times New Roman" w:eastAsia="宋体"/>
                <w:color w:val="auto"/>
                <w:sz w:val="21"/>
                <w:szCs w:val="21"/>
                <w:highlight w:val="none"/>
              </w:rPr>
              <w:t>》（HJ888-2018），本项目非正常工况设定情景及计算数据如下：</w:t>
            </w:r>
          </w:p>
          <w:p w14:paraId="462A48C5">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布袋除尘器滤袋破损期间按下式计算烟尘排放增加量：</w:t>
            </w:r>
          </w:p>
          <w:p w14:paraId="787EEF8F">
            <w:pPr>
              <w:keepNext w:val="0"/>
              <w:keepLines w:val="0"/>
              <w:suppressLineNumbers w:val="0"/>
              <w:spacing w:before="0" w:beforeAutospacing="0" w:after="0" w:afterAutospacing="0" w:line="360" w:lineRule="auto"/>
              <w:ind w:left="0" w:right="0"/>
              <w:jc w:val="center"/>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drawing>
                <wp:inline distT="0" distB="0" distL="114300" distR="114300">
                  <wp:extent cx="1757680" cy="281305"/>
                  <wp:effectExtent l="0" t="0" r="13970" b="4445"/>
                  <wp:docPr id="4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7"/>
                          <pic:cNvPicPr>
                            <a:picLocks noChangeAspect="1"/>
                          </pic:cNvPicPr>
                        </pic:nvPicPr>
                        <pic:blipFill>
                          <a:blip r:embed="rId37"/>
                          <a:stretch>
                            <a:fillRect/>
                          </a:stretch>
                        </pic:blipFill>
                        <pic:spPr>
                          <a:xfrm>
                            <a:off x="0" y="0"/>
                            <a:ext cx="1757680" cy="281305"/>
                          </a:xfrm>
                          <a:prstGeom prst="rect">
                            <a:avLst/>
                          </a:prstGeom>
                          <a:noFill/>
                          <a:ln>
                            <a:noFill/>
                          </a:ln>
                        </pic:spPr>
                      </pic:pic>
                    </a:graphicData>
                  </a:graphic>
                </wp:inline>
              </w:drawing>
            </w:r>
          </w:p>
          <w:p w14:paraId="0E306D64">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式中：ΔM</w:t>
            </w:r>
            <w:r>
              <w:rPr>
                <w:rFonts w:hint="default" w:ascii="Times New Roman" w:hAnsi="Times New Roman" w:eastAsia="宋体"/>
                <w:color w:val="auto"/>
                <w:sz w:val="21"/>
                <w:szCs w:val="21"/>
                <w:highlight w:val="none"/>
                <w:vertAlign w:val="subscript"/>
              </w:rPr>
              <w:t>A</w:t>
            </w:r>
            <w:r>
              <w:rPr>
                <w:rFonts w:hint="default" w:ascii="Times New Roman" w:hAnsi="Times New Roman" w:eastAsia="宋体"/>
                <w:color w:val="auto"/>
                <w:sz w:val="21"/>
                <w:szCs w:val="21"/>
                <w:highlight w:val="none"/>
              </w:rPr>
              <w:t>——滤袋破损后增加的烟尘排放量，g/s；</w:t>
            </w:r>
          </w:p>
          <w:p w14:paraId="543CA052">
            <w:pPr>
              <w:keepNext w:val="0"/>
              <w:keepLines w:val="0"/>
              <w:suppressLineNumbers w:val="0"/>
              <w:spacing w:before="0" w:beforeAutospacing="0" w:after="0" w:afterAutospacing="0" w:line="360" w:lineRule="auto"/>
              <w:ind w:left="0" w:right="0" w:firstLine="1050" w:firstLineChars="500"/>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ρd——原废气含尘质量浓度，g/m</w:t>
            </w:r>
            <w:r>
              <w:rPr>
                <w:rFonts w:hint="default" w:ascii="Times New Roman" w:hAnsi="Times New Roman" w:eastAsia="宋体"/>
                <w:color w:val="auto"/>
                <w:sz w:val="21"/>
                <w:szCs w:val="21"/>
                <w:highlight w:val="none"/>
                <w:vertAlign w:val="superscript"/>
              </w:rPr>
              <w:t>3</w:t>
            </w:r>
            <w:r>
              <w:rPr>
                <w:rFonts w:hint="default" w:ascii="Times New Roman" w:hAnsi="Times New Roman" w:eastAsia="宋体"/>
                <w:color w:val="auto"/>
                <w:sz w:val="21"/>
                <w:szCs w:val="21"/>
                <w:highlight w:val="none"/>
              </w:rPr>
              <w:t>；</w:t>
            </w:r>
          </w:p>
          <w:p w14:paraId="0B74B24C">
            <w:pPr>
              <w:keepNext w:val="0"/>
              <w:keepLines w:val="0"/>
              <w:suppressLineNumbers w:val="0"/>
              <w:spacing w:before="0" w:beforeAutospacing="0" w:after="0" w:afterAutospacing="0" w:line="360" w:lineRule="auto"/>
              <w:ind w:left="0" w:right="0" w:firstLine="1050" w:firstLineChars="500"/>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S——滤袋破口面积，m</w:t>
            </w:r>
            <w:r>
              <w:rPr>
                <w:rFonts w:hint="default" w:ascii="Times New Roman" w:hAnsi="Times New Roman" w:eastAsia="宋体"/>
                <w:color w:val="auto"/>
                <w:sz w:val="21"/>
                <w:szCs w:val="21"/>
                <w:highlight w:val="none"/>
                <w:vertAlign w:val="superscript"/>
              </w:rPr>
              <w:t>2</w:t>
            </w:r>
            <w:r>
              <w:rPr>
                <w:rFonts w:hint="default" w:ascii="Times New Roman" w:hAnsi="Times New Roman" w:eastAsia="宋体"/>
                <w:color w:val="auto"/>
                <w:sz w:val="21"/>
                <w:szCs w:val="21"/>
                <w:highlight w:val="none"/>
              </w:rPr>
              <w:t>；取0.03m</w:t>
            </w:r>
            <w:r>
              <w:rPr>
                <w:rFonts w:hint="default" w:ascii="Times New Roman" w:hAnsi="Times New Roman" w:eastAsia="宋体"/>
                <w:color w:val="auto"/>
                <w:sz w:val="21"/>
                <w:szCs w:val="21"/>
                <w:highlight w:val="none"/>
                <w:vertAlign w:val="superscript"/>
              </w:rPr>
              <w:t>2</w:t>
            </w:r>
          </w:p>
          <w:p w14:paraId="209FF9D7">
            <w:pPr>
              <w:keepNext w:val="0"/>
              <w:keepLines w:val="0"/>
              <w:suppressLineNumbers w:val="0"/>
              <w:spacing w:before="0" w:beforeAutospacing="0" w:after="0" w:afterAutospacing="0" w:line="360" w:lineRule="auto"/>
              <w:ind w:left="0" w:right="0" w:firstLine="1050" w:firstLineChars="500"/>
              <w:rPr>
                <w:rFonts w:hint="default" w:ascii="Times New Roman" w:hAnsi="Times New Roman" w:eastAsia="宋体"/>
                <w:color w:val="auto"/>
                <w:sz w:val="21"/>
                <w:szCs w:val="21"/>
                <w:highlight w:val="none"/>
              </w:rPr>
            </w:pPr>
            <w:r>
              <w:rPr>
                <w:rFonts w:hint="default" w:ascii="Times New Roman" w:hAnsi="Times New Roman" w:eastAsia="宋体"/>
                <w:color w:val="auto"/>
                <w:sz w:val="21"/>
                <w:szCs w:val="21"/>
                <w:highlight w:val="none"/>
              </w:rPr>
              <w:t>v——滤袋破洞处烟气流速，m/s，取25m/s。</w:t>
            </w:r>
          </w:p>
          <w:p w14:paraId="5EA3DA33">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olor w:val="auto"/>
                <w:sz w:val="21"/>
                <w:szCs w:val="21"/>
                <w:highlight w:val="none"/>
              </w:rPr>
            </w:pPr>
            <w:r>
              <w:rPr>
                <w:rFonts w:hint="default" w:ascii="Times New Roman" w:hAnsi="Times New Roman" w:eastAsia="宋体"/>
                <w:color w:val="auto"/>
                <w:sz w:val="21"/>
                <w:highlight w:val="none"/>
              </w:rPr>
              <w:t>计算得出排气筒</w:t>
            </w:r>
            <w:r>
              <w:rPr>
                <w:rFonts w:hint="eastAsia" w:ascii="Times New Roman" w:hAnsi="Times New Roman" w:eastAsia="宋体"/>
                <w:color w:val="auto"/>
                <w:sz w:val="21"/>
                <w:highlight w:val="none"/>
                <w:lang w:val="en-US" w:eastAsia="zh-CN"/>
              </w:rPr>
              <w:t>DA001</w:t>
            </w:r>
            <w:r>
              <w:rPr>
                <w:rFonts w:hint="default" w:ascii="Times New Roman" w:hAnsi="Times New Roman" w:eastAsia="宋体"/>
                <w:color w:val="auto"/>
                <w:sz w:val="21"/>
                <w:highlight w:val="none"/>
              </w:rPr>
              <w:t>增加颗粒物排放量为</w:t>
            </w:r>
            <w:r>
              <w:rPr>
                <w:rFonts w:hint="eastAsia"/>
                <w:color w:val="auto"/>
                <w:sz w:val="21"/>
                <w:highlight w:val="none"/>
                <w:lang w:val="en-US" w:eastAsia="zh-CN"/>
              </w:rPr>
              <w:t>4.00</w:t>
            </w:r>
            <w:r>
              <w:rPr>
                <w:rFonts w:hint="default" w:ascii="Times New Roman" w:hAnsi="Times New Roman" w:eastAsia="宋体"/>
                <w:color w:val="auto"/>
                <w:sz w:val="21"/>
                <w:highlight w:val="none"/>
              </w:rPr>
              <w:t>g/s，</w:t>
            </w:r>
            <w:r>
              <w:rPr>
                <w:rFonts w:hint="eastAsia" w:ascii="Times New Roman" w:hAnsi="Times New Roman" w:eastAsia="宋体"/>
                <w:color w:val="auto"/>
                <w:sz w:val="21"/>
                <w:highlight w:val="none"/>
                <w:lang w:val="en-US" w:eastAsia="zh-CN"/>
              </w:rPr>
              <w:t>14.</w:t>
            </w:r>
            <w:r>
              <w:rPr>
                <w:rFonts w:hint="eastAsia"/>
                <w:color w:val="auto"/>
                <w:sz w:val="21"/>
                <w:highlight w:val="none"/>
                <w:lang w:val="en-US" w:eastAsia="zh-CN"/>
              </w:rPr>
              <w:t>41</w:t>
            </w:r>
            <w:r>
              <w:rPr>
                <w:rFonts w:hint="default" w:ascii="Times New Roman" w:hAnsi="Times New Roman" w:eastAsia="宋体"/>
                <w:color w:val="auto"/>
                <w:sz w:val="21"/>
                <w:highlight w:val="none"/>
              </w:rPr>
              <w:t>kg/h，加上正常排放量，得出非正常工况下</w:t>
            </w:r>
            <w:r>
              <w:rPr>
                <w:rFonts w:hint="eastAsia" w:ascii="Times New Roman" w:hAnsi="Times New Roman" w:eastAsia="宋体"/>
                <w:color w:val="auto"/>
                <w:sz w:val="21"/>
                <w:highlight w:val="none"/>
              </w:rPr>
              <w:t>单个排气筒</w:t>
            </w:r>
            <w:r>
              <w:rPr>
                <w:rFonts w:hint="default" w:ascii="Times New Roman" w:hAnsi="Times New Roman" w:eastAsia="宋体"/>
                <w:color w:val="auto"/>
                <w:sz w:val="21"/>
                <w:highlight w:val="none"/>
              </w:rPr>
              <w:t>颗粒物排放速率为</w:t>
            </w:r>
            <w:r>
              <w:rPr>
                <w:rFonts w:hint="eastAsia" w:ascii="Times New Roman" w:hAnsi="Times New Roman" w:eastAsia="宋体"/>
                <w:color w:val="auto"/>
                <w:sz w:val="21"/>
                <w:highlight w:val="none"/>
                <w:lang w:val="en-US" w:eastAsia="zh-CN"/>
              </w:rPr>
              <w:t>14.4</w:t>
            </w:r>
            <w:r>
              <w:rPr>
                <w:rFonts w:hint="eastAsia"/>
                <w:color w:val="auto"/>
                <w:sz w:val="21"/>
                <w:highlight w:val="none"/>
                <w:lang w:val="en-US" w:eastAsia="zh-CN"/>
              </w:rPr>
              <w:t>9</w:t>
            </w:r>
            <w:r>
              <w:rPr>
                <w:rFonts w:hint="default" w:ascii="Times New Roman" w:hAnsi="Times New Roman" w:eastAsia="宋体"/>
                <w:color w:val="auto"/>
                <w:sz w:val="21"/>
                <w:highlight w:val="none"/>
              </w:rPr>
              <w:t>kg/h。</w:t>
            </w:r>
          </w:p>
          <w:p w14:paraId="2121C425">
            <w:pPr>
              <w:pStyle w:val="12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contextualSpacing/>
              <w:jc w:val="center"/>
              <w:textAlignment w:val="auto"/>
              <w:rPr>
                <w:rFonts w:hint="default" w:ascii="Times New Roman" w:hAnsi="Times New Roman" w:eastAsia="宋体"/>
                <w:b/>
                <w:color w:val="auto"/>
                <w:sz w:val="21"/>
                <w:szCs w:val="21"/>
              </w:rPr>
            </w:pPr>
            <w:r>
              <w:rPr>
                <w:rFonts w:hint="default" w:ascii="Times New Roman" w:hAnsi="Times New Roman" w:eastAsia="宋体"/>
                <w:b/>
                <w:color w:val="auto"/>
                <w:sz w:val="21"/>
                <w:szCs w:val="21"/>
              </w:rPr>
              <w:t>表4-</w:t>
            </w:r>
            <w:r>
              <w:rPr>
                <w:rFonts w:hint="eastAsia"/>
                <w:b/>
                <w:color w:val="auto"/>
                <w:sz w:val="21"/>
                <w:szCs w:val="21"/>
                <w:lang w:val="en-US" w:eastAsia="zh-CN"/>
              </w:rPr>
              <w:t>3</w:t>
            </w:r>
            <w:r>
              <w:rPr>
                <w:rFonts w:hint="default" w:ascii="Times New Roman" w:hAnsi="Times New Roman" w:eastAsia="宋体"/>
                <w:b/>
                <w:color w:val="auto"/>
                <w:sz w:val="21"/>
                <w:szCs w:val="21"/>
              </w:rPr>
              <w:t xml:space="preserve">  非正常排放参数表</w:t>
            </w:r>
          </w:p>
          <w:tbl>
            <w:tblPr>
              <w:tblStyle w:val="42"/>
              <w:tblW w:w="8312"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13"/>
              <w:gridCol w:w="1170"/>
              <w:gridCol w:w="666"/>
              <w:gridCol w:w="1223"/>
              <w:gridCol w:w="1066"/>
              <w:gridCol w:w="824"/>
              <w:gridCol w:w="764"/>
              <w:gridCol w:w="1586"/>
            </w:tblGrid>
            <w:tr w14:paraId="526833B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37" w:hRule="atLeast"/>
                <w:jc w:val="center"/>
              </w:trPr>
              <w:tc>
                <w:tcPr>
                  <w:tcW w:w="1013" w:type="dxa"/>
                  <w:tcBorders>
                    <w:tl2br w:val="nil"/>
                    <w:tr2bl w:val="nil"/>
                  </w:tcBorders>
                  <w:vAlign w:val="center"/>
                </w:tcPr>
                <w:p w14:paraId="3286F008">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非正常排放源</w:t>
                  </w:r>
                </w:p>
              </w:tc>
              <w:tc>
                <w:tcPr>
                  <w:tcW w:w="1170" w:type="dxa"/>
                  <w:tcBorders>
                    <w:tl2br w:val="nil"/>
                    <w:tr2bl w:val="nil"/>
                  </w:tcBorders>
                  <w:vAlign w:val="center"/>
                </w:tcPr>
                <w:p w14:paraId="401242FE">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非正常</w:t>
                  </w:r>
                </w:p>
                <w:p w14:paraId="67B11BCD">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排放原因</w:t>
                  </w:r>
                </w:p>
              </w:tc>
              <w:tc>
                <w:tcPr>
                  <w:tcW w:w="666" w:type="dxa"/>
                  <w:tcBorders>
                    <w:tl2br w:val="nil"/>
                    <w:tr2bl w:val="nil"/>
                  </w:tcBorders>
                  <w:vAlign w:val="center"/>
                </w:tcPr>
                <w:p w14:paraId="43262B5C">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污染物</w:t>
                  </w:r>
                </w:p>
              </w:tc>
              <w:tc>
                <w:tcPr>
                  <w:tcW w:w="1223" w:type="dxa"/>
                  <w:tcBorders>
                    <w:right w:val="single" w:color="auto" w:sz="4" w:space="0"/>
                    <w:tl2br w:val="nil"/>
                    <w:tr2bl w:val="nil"/>
                  </w:tcBorders>
                  <w:vAlign w:val="center"/>
                </w:tcPr>
                <w:p w14:paraId="71A3D5FA">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非正常排放速率（kg/h）</w:t>
                  </w:r>
                </w:p>
              </w:tc>
              <w:tc>
                <w:tcPr>
                  <w:tcW w:w="1066" w:type="dxa"/>
                  <w:tcBorders>
                    <w:left w:val="single" w:color="auto" w:sz="4" w:space="0"/>
                    <w:tl2br w:val="nil"/>
                    <w:tr2bl w:val="nil"/>
                  </w:tcBorders>
                  <w:vAlign w:val="center"/>
                </w:tcPr>
                <w:p w14:paraId="064D0FE2">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b w:val="0"/>
                      <w:bCs w:val="0"/>
                      <w:color w:val="auto"/>
                      <w:sz w:val="21"/>
                      <w:szCs w:val="21"/>
                      <w:lang w:val="en-US" w:eastAsia="zh-CN"/>
                    </w:rPr>
                  </w:pPr>
                  <w:r>
                    <w:rPr>
                      <w:rFonts w:hint="default" w:ascii="Times New Roman" w:hAnsi="Times New Roman" w:eastAsia="宋体"/>
                      <w:b w:val="0"/>
                      <w:bCs w:val="0"/>
                      <w:color w:val="auto"/>
                      <w:sz w:val="21"/>
                      <w:szCs w:val="21"/>
                    </w:rPr>
                    <w:t>非正常排</w:t>
                  </w:r>
                  <w:r>
                    <w:rPr>
                      <w:rFonts w:hint="eastAsia" w:ascii="Times New Roman" w:hAnsi="Times New Roman" w:eastAsia="宋体"/>
                      <w:b w:val="0"/>
                      <w:bCs w:val="0"/>
                      <w:color w:val="auto"/>
                      <w:sz w:val="21"/>
                      <w:szCs w:val="21"/>
                      <w:lang w:val="en-US" w:eastAsia="zh-CN"/>
                    </w:rPr>
                    <w:t>浓度（mg/m</w:t>
                  </w:r>
                  <w:r>
                    <w:rPr>
                      <w:rFonts w:hint="eastAsia" w:ascii="Times New Roman" w:hAnsi="Times New Roman" w:eastAsia="宋体"/>
                      <w:b w:val="0"/>
                      <w:bCs w:val="0"/>
                      <w:color w:val="auto"/>
                      <w:sz w:val="21"/>
                      <w:szCs w:val="21"/>
                      <w:vertAlign w:val="superscript"/>
                      <w:lang w:val="en-US" w:eastAsia="zh-CN"/>
                    </w:rPr>
                    <w:t>3</w:t>
                  </w:r>
                  <w:r>
                    <w:rPr>
                      <w:rFonts w:hint="eastAsia" w:ascii="Times New Roman" w:hAnsi="Times New Roman" w:eastAsia="宋体"/>
                      <w:b w:val="0"/>
                      <w:bCs w:val="0"/>
                      <w:color w:val="auto"/>
                      <w:sz w:val="21"/>
                      <w:szCs w:val="21"/>
                      <w:lang w:val="en-US" w:eastAsia="zh-CN"/>
                    </w:rPr>
                    <w:t>）</w:t>
                  </w:r>
                </w:p>
              </w:tc>
              <w:tc>
                <w:tcPr>
                  <w:tcW w:w="824" w:type="dxa"/>
                  <w:tcBorders>
                    <w:tl2br w:val="nil"/>
                    <w:tr2bl w:val="nil"/>
                  </w:tcBorders>
                  <w:vAlign w:val="center"/>
                </w:tcPr>
                <w:p w14:paraId="2D4F46AE">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单次持续时间/</w:t>
                  </w:r>
                  <w:r>
                    <w:rPr>
                      <w:rFonts w:hint="eastAsia" w:ascii="Times New Roman" w:hAnsi="Times New Roman" w:eastAsia="宋体"/>
                      <w:b w:val="0"/>
                      <w:bCs w:val="0"/>
                      <w:color w:val="auto"/>
                      <w:sz w:val="21"/>
                      <w:szCs w:val="21"/>
                    </w:rPr>
                    <w:t>h</w:t>
                  </w:r>
                </w:p>
              </w:tc>
              <w:tc>
                <w:tcPr>
                  <w:tcW w:w="764" w:type="dxa"/>
                  <w:tcBorders>
                    <w:tl2br w:val="nil"/>
                    <w:tr2bl w:val="nil"/>
                  </w:tcBorders>
                  <w:vAlign w:val="center"/>
                </w:tcPr>
                <w:p w14:paraId="2AA94E72">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年发生频次/次</w:t>
                  </w:r>
                </w:p>
              </w:tc>
              <w:tc>
                <w:tcPr>
                  <w:tcW w:w="1586" w:type="dxa"/>
                  <w:tcBorders>
                    <w:tl2br w:val="nil"/>
                    <w:tr2bl w:val="nil"/>
                  </w:tcBorders>
                  <w:vAlign w:val="center"/>
                </w:tcPr>
                <w:p w14:paraId="49C1FAC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应对</w:t>
                  </w:r>
                </w:p>
                <w:p w14:paraId="23C8F06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b w:val="0"/>
                      <w:bCs w:val="0"/>
                      <w:color w:val="auto"/>
                      <w:sz w:val="21"/>
                      <w:szCs w:val="21"/>
                    </w:rPr>
                  </w:pPr>
                  <w:r>
                    <w:rPr>
                      <w:rFonts w:hint="default" w:ascii="Times New Roman" w:hAnsi="Times New Roman" w:eastAsia="宋体"/>
                      <w:b w:val="0"/>
                      <w:bCs w:val="0"/>
                      <w:color w:val="auto"/>
                      <w:sz w:val="21"/>
                      <w:szCs w:val="21"/>
                    </w:rPr>
                    <w:t>措施</w:t>
                  </w:r>
                </w:p>
              </w:tc>
            </w:tr>
            <w:tr w14:paraId="1CBEF8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60" w:hRule="atLeast"/>
                <w:jc w:val="center"/>
              </w:trPr>
              <w:tc>
                <w:tcPr>
                  <w:tcW w:w="1013" w:type="dxa"/>
                  <w:tcBorders>
                    <w:tl2br w:val="nil"/>
                    <w:tr2bl w:val="nil"/>
                  </w:tcBorders>
                  <w:vAlign w:val="center"/>
                </w:tcPr>
                <w:p w14:paraId="44CC5D7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DA001</w:t>
                  </w:r>
                </w:p>
              </w:tc>
              <w:tc>
                <w:tcPr>
                  <w:tcW w:w="1170" w:type="dxa"/>
                  <w:tcBorders>
                    <w:tl2br w:val="nil"/>
                    <w:tr2bl w:val="nil"/>
                  </w:tcBorders>
                  <w:vAlign w:val="center"/>
                </w:tcPr>
                <w:p w14:paraId="77AE2A40">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olor w:val="auto"/>
                      <w:sz w:val="21"/>
                      <w:szCs w:val="21"/>
                      <w:lang w:val="en-US" w:eastAsia="zh-CN"/>
                    </w:rPr>
                  </w:pPr>
                  <w:r>
                    <w:rPr>
                      <w:rFonts w:hint="eastAsia"/>
                      <w:color w:val="auto"/>
                      <w:sz w:val="21"/>
                      <w:szCs w:val="21"/>
                      <w:lang w:val="en-US" w:eastAsia="zh-CN"/>
                    </w:rPr>
                    <w:t>滤袋破损</w:t>
                  </w:r>
                </w:p>
              </w:tc>
              <w:tc>
                <w:tcPr>
                  <w:tcW w:w="666" w:type="dxa"/>
                  <w:tcBorders>
                    <w:tl2br w:val="nil"/>
                    <w:tr2bl w:val="nil"/>
                  </w:tcBorders>
                  <w:vAlign w:val="center"/>
                </w:tcPr>
                <w:p w14:paraId="54B22429">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olor w:val="auto"/>
                      <w:sz w:val="21"/>
                      <w:szCs w:val="21"/>
                    </w:rPr>
                  </w:pPr>
                  <w:r>
                    <w:rPr>
                      <w:rFonts w:hint="default" w:ascii="Times New Roman" w:hAnsi="Times New Roman" w:eastAsia="宋体"/>
                      <w:color w:val="auto"/>
                      <w:sz w:val="21"/>
                      <w:szCs w:val="21"/>
                    </w:rPr>
                    <w:t>颗粒物</w:t>
                  </w:r>
                </w:p>
              </w:tc>
              <w:tc>
                <w:tcPr>
                  <w:tcW w:w="1223" w:type="dxa"/>
                  <w:tcBorders>
                    <w:right w:val="single" w:color="auto" w:sz="4" w:space="0"/>
                    <w:tl2br w:val="nil"/>
                    <w:tr2bl w:val="nil"/>
                  </w:tcBorders>
                  <w:vAlign w:val="center"/>
                </w:tcPr>
                <w:p w14:paraId="4173BBB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14.4</w:t>
                  </w:r>
                  <w:r>
                    <w:rPr>
                      <w:rFonts w:hint="eastAsia"/>
                      <w:color w:val="auto"/>
                      <w:sz w:val="21"/>
                      <w:szCs w:val="21"/>
                      <w:highlight w:val="none"/>
                      <w:lang w:val="en-US" w:eastAsia="zh-CN"/>
                    </w:rPr>
                    <w:t>9</w:t>
                  </w:r>
                </w:p>
              </w:tc>
              <w:tc>
                <w:tcPr>
                  <w:tcW w:w="1066" w:type="dxa"/>
                  <w:tcBorders>
                    <w:left w:val="single" w:color="auto" w:sz="4" w:space="0"/>
                    <w:tl2br w:val="nil"/>
                    <w:tr2bl w:val="nil"/>
                  </w:tcBorders>
                  <w:vAlign w:val="center"/>
                </w:tcPr>
                <w:p w14:paraId="5A7AFD2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contextualSpacing/>
                    <w:jc w:val="center"/>
                    <w:textAlignment w:val="auto"/>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2829.06</w:t>
                  </w:r>
                </w:p>
              </w:tc>
              <w:tc>
                <w:tcPr>
                  <w:tcW w:w="824" w:type="dxa"/>
                  <w:tcBorders>
                    <w:tl2br w:val="nil"/>
                    <w:tr2bl w:val="nil"/>
                  </w:tcBorders>
                  <w:vAlign w:val="center"/>
                </w:tcPr>
                <w:p w14:paraId="36001AAE">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olor w:val="auto"/>
                      <w:sz w:val="21"/>
                      <w:szCs w:val="21"/>
                    </w:rPr>
                  </w:pPr>
                  <w:r>
                    <w:rPr>
                      <w:rFonts w:hint="default" w:ascii="Times New Roman" w:hAnsi="Times New Roman" w:eastAsia="宋体"/>
                      <w:color w:val="auto"/>
                      <w:sz w:val="21"/>
                      <w:szCs w:val="21"/>
                    </w:rPr>
                    <w:t>＜1</w:t>
                  </w:r>
                </w:p>
              </w:tc>
              <w:tc>
                <w:tcPr>
                  <w:tcW w:w="764" w:type="dxa"/>
                  <w:tcBorders>
                    <w:tl2br w:val="nil"/>
                    <w:tr2bl w:val="nil"/>
                  </w:tcBorders>
                  <w:vAlign w:val="center"/>
                </w:tcPr>
                <w:p w14:paraId="5FF6D3B5">
                  <w:pPr>
                    <w:pStyle w:val="124"/>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olor w:val="auto"/>
                      <w:sz w:val="21"/>
                      <w:szCs w:val="21"/>
                    </w:rPr>
                  </w:pPr>
                  <w:r>
                    <w:rPr>
                      <w:rFonts w:hint="default" w:ascii="Times New Roman" w:hAnsi="Times New Roman" w:eastAsia="宋体"/>
                      <w:color w:val="auto"/>
                      <w:sz w:val="21"/>
                      <w:szCs w:val="21"/>
                    </w:rPr>
                    <w:t>1</w:t>
                  </w:r>
                </w:p>
              </w:tc>
              <w:tc>
                <w:tcPr>
                  <w:tcW w:w="1586" w:type="dxa"/>
                  <w:tcBorders>
                    <w:tl2br w:val="nil"/>
                    <w:tr2bl w:val="nil"/>
                  </w:tcBorders>
                  <w:vAlign w:val="center"/>
                </w:tcPr>
                <w:p w14:paraId="699D999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olor w:val="auto"/>
                      <w:sz w:val="21"/>
                      <w:szCs w:val="21"/>
                    </w:rPr>
                  </w:pPr>
                  <w:r>
                    <w:rPr>
                      <w:rFonts w:hint="default" w:ascii="Times New Roman" w:hAnsi="Times New Roman" w:eastAsia="宋体"/>
                      <w:color w:val="auto"/>
                      <w:sz w:val="21"/>
                      <w:szCs w:val="21"/>
                    </w:rPr>
                    <w:t>加强设备维护及保养，避免此类情况发生</w:t>
                  </w:r>
                </w:p>
              </w:tc>
            </w:tr>
          </w:tbl>
          <w:p w14:paraId="2DCFD98B">
            <w:pPr>
              <w:pStyle w:val="16"/>
              <w:keepNext w:val="0"/>
              <w:keepLines w:val="0"/>
              <w:pageBreakBefore w:val="0"/>
              <w:widowControl/>
              <w:suppressLineNumbers w:val="0"/>
              <w:kinsoku/>
              <w:overflowPunct/>
              <w:topLinePunct w:val="0"/>
              <w:bidi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为防止发生污染物非正常工况排放，企业必须加强废气处理设施的管理，定期检修，确保废气处理设施正常运行，在废气处理设备停止运行或出现故障时，产生废气的各工序也必须相应停止。为杜绝废气非正常排放，应采取以下措施确保废气达标排放：</w:t>
            </w:r>
          </w:p>
          <w:p w14:paraId="0A197DDC">
            <w:pPr>
              <w:pStyle w:val="16"/>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rPr>
            </w:pPr>
            <w:r>
              <w:rPr>
                <w:rFonts w:hint="eastAsia" w:ascii="Times New Roman" w:hAnsi="Times New Roman" w:eastAsia="宋体"/>
                <w:color w:val="auto"/>
                <w:sz w:val="21"/>
                <w:szCs w:val="21"/>
              </w:rPr>
              <w:t>①</w:t>
            </w:r>
            <w:r>
              <w:rPr>
                <w:rFonts w:hint="default" w:ascii="Times New Roman" w:hAnsi="Times New Roman" w:eastAsia="宋体" w:cs="Times New Roman"/>
                <w:color w:val="auto"/>
                <w:sz w:val="21"/>
                <w:szCs w:val="21"/>
              </w:rPr>
              <w:t>环保设施应先于生产设施启动，并同步运行，滞后关闭。</w:t>
            </w:r>
          </w:p>
          <w:p w14:paraId="2E0A1D43">
            <w:pPr>
              <w:pStyle w:val="16"/>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rPr>
            </w:pPr>
            <w:r>
              <w:rPr>
                <w:rFonts w:hint="eastAsia" w:ascii="Times New Roman" w:hAnsi="Times New Roman" w:eastAsia="宋体"/>
                <w:color w:val="auto"/>
                <w:sz w:val="21"/>
                <w:szCs w:val="21"/>
              </w:rPr>
              <w:t>②</w:t>
            </w:r>
            <w:r>
              <w:rPr>
                <w:rFonts w:hint="default" w:ascii="Times New Roman" w:hAnsi="Times New Roman" w:eastAsia="宋体" w:cs="Times New Roman"/>
                <w:color w:val="auto"/>
                <w:sz w:val="21"/>
                <w:szCs w:val="21"/>
              </w:rPr>
              <w:t>注意废气处理设施的维护保养，及时发现处理设备的隐患。</w:t>
            </w:r>
          </w:p>
          <w:p w14:paraId="427EC63F">
            <w:pPr>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olor w:val="auto"/>
                <w:sz w:val="21"/>
                <w:szCs w:val="21"/>
              </w:rPr>
            </w:pPr>
            <w:r>
              <w:rPr>
                <w:rFonts w:hint="eastAsia" w:ascii="Times New Roman" w:hAnsi="Times New Roman" w:eastAsia="宋体" w:cs="宋体"/>
                <w:color w:val="auto"/>
                <w:sz w:val="21"/>
                <w:szCs w:val="21"/>
              </w:rPr>
              <w:t>③</w:t>
            </w:r>
            <w:r>
              <w:rPr>
                <w:rFonts w:hint="default" w:ascii="Times New Roman" w:hAnsi="Times New Roman" w:eastAsia="宋体"/>
                <w:color w:val="auto"/>
                <w:sz w:val="21"/>
                <w:szCs w:val="21"/>
              </w:rPr>
              <w:t>进一步加强设施监管，监控环保设备的稳定运行。安排专人负责环保设备的日常维护和管理，每隔固定时间检查、汇报情况。</w:t>
            </w:r>
          </w:p>
          <w:p w14:paraId="396DB7EA">
            <w:pPr>
              <w:pStyle w:val="304"/>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hint="default" w:ascii="Times New Roman" w:hAnsi="Times New Roman" w:eastAsia="宋体" w:cs="Times New Roman"/>
                <w:bCs/>
                <w:color w:val="auto"/>
                <w:sz w:val="21"/>
                <w:highlight w:val="none"/>
                <w:lang w:val="en-US" w:eastAsia="zh-CN"/>
              </w:rPr>
            </w:pPr>
            <w:r>
              <w:rPr>
                <w:rFonts w:hint="default" w:ascii="Times New Roman" w:hAnsi="Times New Roman" w:eastAsia="宋体" w:cs="Times New Roman"/>
                <w:bCs/>
                <w:color w:val="auto"/>
                <w:sz w:val="21"/>
                <w:highlight w:val="none"/>
                <w:lang w:val="en-US" w:eastAsia="zh-CN"/>
              </w:rPr>
              <w:t>（4）废气治理措施可行性分析</w:t>
            </w:r>
          </w:p>
          <w:p w14:paraId="445D7002">
            <w:pPr>
              <w:pStyle w:val="304"/>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bCs/>
                <w:color w:val="auto"/>
                <w:sz w:val="21"/>
                <w:highlight w:val="none"/>
                <w:lang w:val="en-US" w:eastAsia="zh-CN"/>
              </w:rPr>
              <w:t>1）环保设施可行性分析</w:t>
            </w:r>
          </w:p>
          <w:p w14:paraId="5D2BC5A8">
            <w:pPr>
              <w:keepNext w:val="0"/>
              <w:keepLines w:val="0"/>
              <w:pageBreakBefore w:val="0"/>
              <w:suppressLineNumbers w:val="0"/>
              <w:kinsoku/>
              <w:overflowPunct/>
              <w:topLinePunct w:val="0"/>
              <w:bidi w:val="0"/>
              <w:spacing w:before="0" w:beforeAutospacing="0" w:after="0" w:afterAutospacing="0" w:line="360" w:lineRule="auto"/>
              <w:ind w:left="0" w:right="0" w:firstLine="420" w:firstLineChars="200"/>
              <w:rPr>
                <w:rFonts w:hint="default" w:ascii="Times New Roman" w:hAnsi="Times New Roman" w:eastAsia="宋体"/>
                <w:color w:val="auto"/>
                <w:sz w:val="21"/>
                <w:szCs w:val="21"/>
                <w:lang w:val="en-US" w:eastAsia="zh-CN"/>
              </w:rPr>
            </w:pPr>
            <w:r>
              <w:rPr>
                <w:rFonts w:hint="default" w:ascii="Times New Roman" w:hAnsi="Times New Roman" w:eastAsia="宋体"/>
                <w:color w:val="auto"/>
                <w:kern w:val="21"/>
                <w:sz w:val="21"/>
                <w:szCs w:val="21"/>
              </w:rPr>
              <w:t>锅炉烟气经过旋风除尘+布袋除尘器</w:t>
            </w:r>
            <w:r>
              <w:rPr>
                <w:rFonts w:hint="eastAsia" w:ascii="Times New Roman" w:hAnsi="Times New Roman" w:eastAsia="宋体"/>
                <w:color w:val="auto"/>
                <w:kern w:val="21"/>
                <w:sz w:val="21"/>
                <w:szCs w:val="21"/>
              </w:rPr>
              <w:t>（</w:t>
            </w:r>
            <w:r>
              <w:rPr>
                <w:rFonts w:hint="default" w:ascii="Times New Roman" w:hAnsi="Times New Roman" w:cs="Times New Roman"/>
                <w:color w:val="auto"/>
                <w:sz w:val="21"/>
                <w:szCs w:val="21"/>
              </w:rPr>
              <w:t>根据《排放源统计调查产排污核算方法和系数手册》-4430工业锅炉（热力生产和供应行业）产污系数表-生物质工业锅炉，袋式除尘器除尘效率取99.7%</w:t>
            </w:r>
            <w:r>
              <w:rPr>
                <w:rFonts w:hint="eastAsia" w:ascii="Times New Roman" w:hAnsi="Times New Roman" w:eastAsia="宋体"/>
                <w:color w:val="auto"/>
                <w:kern w:val="21"/>
                <w:sz w:val="21"/>
                <w:szCs w:val="21"/>
              </w:rPr>
              <w:t>）</w:t>
            </w:r>
            <w:r>
              <w:rPr>
                <w:rFonts w:hint="default" w:ascii="Times New Roman" w:hAnsi="Times New Roman" w:eastAsia="宋体"/>
                <w:color w:val="auto"/>
                <w:kern w:val="21"/>
                <w:sz w:val="21"/>
                <w:szCs w:val="21"/>
              </w:rPr>
              <w:t>处理后通过3</w:t>
            </w:r>
            <w:r>
              <w:rPr>
                <w:rFonts w:hint="eastAsia" w:ascii="Times New Roman" w:hAnsi="Times New Roman" w:eastAsia="宋体"/>
                <w:color w:val="auto"/>
                <w:kern w:val="21"/>
                <w:sz w:val="21"/>
                <w:szCs w:val="21"/>
              </w:rPr>
              <w:t>5</w:t>
            </w:r>
            <w:r>
              <w:rPr>
                <w:rFonts w:hint="default" w:ascii="Times New Roman" w:hAnsi="Times New Roman" w:eastAsia="宋体"/>
                <w:color w:val="auto"/>
                <w:kern w:val="21"/>
                <w:sz w:val="21"/>
                <w:szCs w:val="21"/>
              </w:rPr>
              <w:t>m高烟囱高空排放，锅炉烟气能够达到</w:t>
            </w:r>
            <w:r>
              <w:rPr>
                <w:rFonts w:hint="default" w:ascii="Times New Roman" w:hAnsi="Times New Roman" w:eastAsia="宋体"/>
                <w:color w:val="auto"/>
                <w:sz w:val="21"/>
                <w:szCs w:val="21"/>
              </w:rPr>
              <w:t>《锅炉大气污染物排放标准》（GB13271-2014）中</w:t>
            </w:r>
            <w:r>
              <w:rPr>
                <w:rFonts w:hint="default" w:ascii="Times New Roman" w:hAnsi="Times New Roman" w:eastAsia="宋体" w:cs="Times New Roman"/>
                <w:color w:val="auto"/>
                <w:sz w:val="21"/>
                <w:szCs w:val="21"/>
                <w:highlight w:val="none"/>
              </w:rPr>
              <w:t>表</w:t>
            </w:r>
            <w:r>
              <w:rPr>
                <w:rFonts w:hint="eastAsia" w:cs="Times New Roman"/>
                <w:color w:val="auto"/>
                <w:sz w:val="21"/>
                <w:szCs w:val="21"/>
                <w:highlight w:val="none"/>
                <w:lang w:val="en-US" w:eastAsia="zh-CN"/>
              </w:rPr>
              <w:t>2新建锅炉大气污染物排放限值</w:t>
            </w:r>
            <w:r>
              <w:rPr>
                <w:rFonts w:hint="default" w:ascii="Times New Roman" w:hAnsi="Times New Roman" w:eastAsia="宋体"/>
                <w:color w:val="auto"/>
                <w:sz w:val="21"/>
                <w:szCs w:val="21"/>
              </w:rPr>
              <w:t>。</w:t>
            </w:r>
            <w:r>
              <w:rPr>
                <w:rFonts w:hint="eastAsia" w:ascii="Times New Roman" w:hAnsi="Times New Roman" w:eastAsia="宋体"/>
                <w:color w:val="auto"/>
                <w:sz w:val="21"/>
                <w:szCs w:val="21"/>
              </w:rPr>
              <w:t>旋风除尘+</w:t>
            </w:r>
            <w:r>
              <w:rPr>
                <w:rFonts w:hint="default" w:ascii="Times New Roman" w:hAnsi="Times New Roman" w:eastAsia="宋体"/>
                <w:color w:val="auto"/>
                <w:kern w:val="21"/>
                <w:sz w:val="21"/>
                <w:szCs w:val="21"/>
              </w:rPr>
              <w:t>布袋除尘</w:t>
            </w:r>
            <w:r>
              <w:rPr>
                <w:rFonts w:hint="eastAsia" w:ascii="Times New Roman" w:hAnsi="Times New Roman" w:eastAsia="宋体"/>
                <w:color w:val="auto"/>
                <w:kern w:val="21"/>
                <w:sz w:val="21"/>
                <w:szCs w:val="21"/>
              </w:rPr>
              <w:t>组合技术</w:t>
            </w:r>
            <w:r>
              <w:rPr>
                <w:rFonts w:hint="default" w:ascii="Times New Roman" w:hAnsi="Times New Roman" w:eastAsia="宋体"/>
                <w:color w:val="auto"/>
                <w:kern w:val="21"/>
                <w:sz w:val="21"/>
                <w:szCs w:val="21"/>
              </w:rPr>
              <w:t>为</w:t>
            </w:r>
            <w:r>
              <w:rPr>
                <w:rFonts w:hint="default" w:ascii="Times New Roman" w:hAnsi="Times New Roman" w:eastAsia="宋体"/>
                <w:color w:val="auto"/>
                <w:sz w:val="21"/>
                <w:szCs w:val="21"/>
              </w:rPr>
              <w:t>《排污许可证申请与核发技术规范 锅炉》（HJ953-2018）中生物质锅炉</w:t>
            </w:r>
            <w:r>
              <w:rPr>
                <w:rFonts w:hint="eastAsia" w:ascii="Times New Roman" w:hAnsi="Times New Roman" w:eastAsia="宋体"/>
                <w:color w:val="auto"/>
                <w:sz w:val="21"/>
                <w:szCs w:val="21"/>
              </w:rPr>
              <w:t>烟气污染防治</w:t>
            </w:r>
            <w:r>
              <w:rPr>
                <w:rFonts w:hint="default" w:ascii="Times New Roman" w:hAnsi="Times New Roman" w:eastAsia="宋体"/>
                <w:color w:val="auto"/>
                <w:sz w:val="21"/>
                <w:szCs w:val="21"/>
              </w:rPr>
              <w:t>可行技术。</w:t>
            </w:r>
            <w:r>
              <w:rPr>
                <w:rFonts w:hint="eastAsia"/>
                <w:color w:val="auto"/>
                <w:sz w:val="21"/>
                <w:szCs w:val="21"/>
                <w:lang w:val="en-US" w:eastAsia="zh-CN"/>
              </w:rPr>
              <w:t>锅炉采用低氮燃烧，低氮燃烧</w:t>
            </w:r>
            <w:r>
              <w:rPr>
                <w:rFonts w:hint="eastAsia" w:ascii="Times New Roman" w:hAnsi="Times New Roman" w:eastAsia="宋体"/>
                <w:color w:val="auto"/>
                <w:kern w:val="21"/>
                <w:sz w:val="21"/>
                <w:szCs w:val="21"/>
              </w:rPr>
              <w:t>技术</w:t>
            </w:r>
            <w:r>
              <w:rPr>
                <w:rFonts w:hint="default" w:ascii="Times New Roman" w:hAnsi="Times New Roman" w:eastAsia="宋体"/>
                <w:color w:val="auto"/>
                <w:kern w:val="21"/>
                <w:sz w:val="21"/>
                <w:szCs w:val="21"/>
              </w:rPr>
              <w:t>为</w:t>
            </w:r>
            <w:r>
              <w:rPr>
                <w:rFonts w:hint="default" w:ascii="Times New Roman" w:hAnsi="Times New Roman" w:eastAsia="宋体"/>
                <w:color w:val="auto"/>
                <w:sz w:val="21"/>
                <w:szCs w:val="21"/>
              </w:rPr>
              <w:t>《排污许可证申请与核发技术规范 锅炉》（HJ953-2018）中生物质锅炉</w:t>
            </w:r>
            <w:r>
              <w:rPr>
                <w:rFonts w:hint="eastAsia" w:ascii="Times New Roman" w:hAnsi="Times New Roman" w:eastAsia="宋体"/>
                <w:color w:val="auto"/>
                <w:sz w:val="21"/>
                <w:szCs w:val="21"/>
              </w:rPr>
              <w:t>烟气污染防治</w:t>
            </w:r>
            <w:r>
              <w:rPr>
                <w:rFonts w:hint="default" w:ascii="Times New Roman" w:hAnsi="Times New Roman" w:eastAsia="宋体"/>
                <w:color w:val="auto"/>
                <w:sz w:val="21"/>
                <w:szCs w:val="21"/>
              </w:rPr>
              <w:t>可行技术</w:t>
            </w:r>
          </w:p>
          <w:p w14:paraId="3352088D">
            <w:pPr>
              <w:pStyle w:val="304"/>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bCs/>
                <w:color w:val="auto"/>
                <w:sz w:val="21"/>
                <w:highlight w:val="none"/>
              </w:rPr>
              <w:t>因此，</w:t>
            </w:r>
            <w:r>
              <w:rPr>
                <w:rFonts w:hint="eastAsia" w:cs="Times New Roman"/>
                <w:bCs/>
                <w:color w:val="auto"/>
                <w:sz w:val="21"/>
                <w:highlight w:val="none"/>
                <w:lang w:val="en-US" w:eastAsia="zh-CN"/>
              </w:rPr>
              <w:t>低氮燃烧，</w:t>
            </w:r>
            <w:r>
              <w:rPr>
                <w:rFonts w:hint="default" w:ascii="Times New Roman" w:hAnsi="Times New Roman" w:eastAsia="宋体"/>
                <w:color w:val="auto"/>
                <w:kern w:val="21"/>
                <w:sz w:val="21"/>
                <w:szCs w:val="21"/>
              </w:rPr>
              <w:t>旋风除尘+布袋除尘器</w:t>
            </w:r>
            <w:r>
              <w:rPr>
                <w:rFonts w:hint="eastAsia" w:ascii="Times New Roman" w:hAnsi="Times New Roman" w:eastAsia="宋体"/>
                <w:color w:val="auto"/>
                <w:kern w:val="21"/>
                <w:sz w:val="21"/>
                <w:szCs w:val="21"/>
                <w:lang w:val="en-US" w:eastAsia="zh-CN"/>
              </w:rPr>
              <w:t>的</w:t>
            </w:r>
            <w:r>
              <w:rPr>
                <w:rFonts w:hint="eastAsia" w:cs="Times New Roman"/>
                <w:bCs/>
                <w:color w:val="auto"/>
                <w:sz w:val="21"/>
                <w:highlight w:val="none"/>
                <w:lang w:val="en-US" w:eastAsia="zh-CN"/>
              </w:rPr>
              <w:t>环保措施可行</w:t>
            </w:r>
            <w:r>
              <w:rPr>
                <w:rFonts w:hint="default" w:ascii="Times New Roman" w:hAnsi="Times New Roman" w:eastAsia="宋体" w:cs="Times New Roman"/>
                <w:bCs/>
                <w:color w:val="auto"/>
                <w:sz w:val="21"/>
                <w:highlight w:val="none"/>
              </w:rPr>
              <w:t>。</w:t>
            </w:r>
          </w:p>
          <w:p w14:paraId="35600F90">
            <w:pPr>
              <w:pStyle w:val="304"/>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hint="default" w:ascii="Times New Roman" w:hAnsi="Times New Roman" w:eastAsia="宋体" w:cs="Times New Roman"/>
                <w:bCs/>
                <w:color w:val="auto"/>
                <w:sz w:val="21"/>
                <w:highlight w:val="none"/>
                <w:lang w:val="en-US" w:eastAsia="zh-CN"/>
              </w:rPr>
            </w:pPr>
            <w:r>
              <w:rPr>
                <w:rFonts w:hint="default" w:ascii="Times New Roman" w:hAnsi="Times New Roman" w:eastAsia="宋体" w:cs="Times New Roman"/>
                <w:bCs/>
                <w:color w:val="auto"/>
                <w:sz w:val="21"/>
                <w:highlight w:val="none"/>
                <w:lang w:val="en-US" w:eastAsia="zh-CN"/>
              </w:rPr>
              <w:t>2）烟囱高度设置合理性分析</w:t>
            </w:r>
          </w:p>
          <w:p w14:paraId="1DFC5B30">
            <w:pPr>
              <w:pStyle w:val="304"/>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hint="default" w:ascii="Times New Roman" w:hAnsi="Times New Roman" w:eastAsia="宋体" w:cs="Times New Roman"/>
                <w:color w:val="auto"/>
                <w:kern w:val="0"/>
                <w:sz w:val="21"/>
                <w:highlight w:val="none"/>
              </w:rPr>
            </w:pPr>
            <w:r>
              <w:rPr>
                <w:rFonts w:hint="default" w:ascii="Times New Roman" w:hAnsi="Times New Roman" w:eastAsia="宋体" w:cs="Times New Roman"/>
                <w:bCs/>
                <w:color w:val="auto"/>
                <w:sz w:val="21"/>
                <w:highlight w:val="none"/>
                <w:lang w:val="en-US" w:eastAsia="zh-CN"/>
              </w:rPr>
              <w:t>本项目生物质锅炉烟囱设置高度为</w:t>
            </w:r>
            <w:r>
              <w:rPr>
                <w:rFonts w:hint="eastAsia" w:cs="Times New Roman"/>
                <w:bCs/>
                <w:color w:val="auto"/>
                <w:sz w:val="21"/>
                <w:highlight w:val="none"/>
                <w:lang w:val="en-US" w:eastAsia="zh-CN"/>
              </w:rPr>
              <w:t>35m</w:t>
            </w:r>
            <w:r>
              <w:rPr>
                <w:rFonts w:hint="default" w:ascii="Times New Roman" w:hAnsi="Times New Roman" w:eastAsia="宋体" w:cs="Times New Roman"/>
                <w:bCs/>
                <w:color w:val="auto"/>
                <w:sz w:val="21"/>
                <w:highlight w:val="none"/>
                <w:lang w:val="en-US" w:eastAsia="zh-CN"/>
              </w:rPr>
              <w:t>，根据《锅炉大气污染物排放标准》(GB13271-2014）4.5“新建锅炉房的烟囱周围半径200m内有建筑物时，其烟囱应高出最高建筑物3m以上。”。本项目烟囱周围200m半径范围内没有超过</w:t>
            </w:r>
            <w:r>
              <w:rPr>
                <w:rFonts w:hint="eastAsia" w:cs="Times New Roman"/>
                <w:bCs/>
                <w:color w:val="auto"/>
                <w:sz w:val="21"/>
                <w:highlight w:val="none"/>
                <w:lang w:val="en-US" w:eastAsia="zh-CN"/>
              </w:rPr>
              <w:t>32</w:t>
            </w:r>
            <w:r>
              <w:rPr>
                <w:rFonts w:hint="default" w:ascii="Times New Roman" w:hAnsi="Times New Roman" w:eastAsia="宋体" w:cs="Times New Roman"/>
                <w:bCs/>
                <w:color w:val="auto"/>
                <w:sz w:val="21"/>
                <w:highlight w:val="none"/>
                <w:lang w:val="en-US" w:eastAsia="zh-CN"/>
              </w:rPr>
              <w:t>米高的建筑物，因此本项目烟囱高度符合《锅炉大气污染物排放标准》(GB13271-2014）烟囱高度的要求。</w:t>
            </w:r>
          </w:p>
          <w:p w14:paraId="2E80232A">
            <w:pPr>
              <w:pStyle w:val="304"/>
              <w:keepNext w:val="0"/>
              <w:keepLines w:val="0"/>
              <w:pageBreakBefore w:val="0"/>
              <w:widowControl w:val="0"/>
              <w:kinsoku/>
              <w:wordWrap/>
              <w:overflowPunct/>
              <w:topLinePunct w:val="0"/>
              <w:autoSpaceDE/>
              <w:autoSpaceDN/>
              <w:bidi w:val="0"/>
              <w:adjustRightInd w:val="0"/>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lang w:val="en-US" w:eastAsia="zh-CN"/>
              </w:rPr>
              <w:t>5</w:t>
            </w: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rPr>
              <w:t>监测计划</w:t>
            </w:r>
          </w:p>
          <w:p w14:paraId="5E44C93F">
            <w:pPr>
              <w:keepNext w:val="0"/>
              <w:keepLines w:val="0"/>
              <w:pageBreakBefore w:val="0"/>
              <w:widowControl w:val="0"/>
              <w:kinsoku/>
              <w:wordWrap/>
              <w:overflowPunct/>
              <w:topLinePunct w:val="0"/>
              <w:autoSpaceDE/>
              <w:autoSpaceDN/>
              <w:bidi w:val="0"/>
              <w:adjustRightInd w:val="0"/>
              <w:snapToGrid w:val="0"/>
              <w:spacing w:line="360" w:lineRule="auto"/>
              <w:ind w:firstLine="400" w:firstLineChars="200"/>
              <w:textAlignment w:val="auto"/>
              <w:rPr>
                <w:rFonts w:hint="default" w:ascii="Times New Roman" w:hAnsi="Times New Roman" w:eastAsia="宋体" w:cs="Times New Roman"/>
                <w:b/>
                <w:color w:val="auto"/>
                <w:kern w:val="2"/>
                <w:sz w:val="21"/>
                <w:szCs w:val="22"/>
                <w:highlight w:val="none"/>
                <w:lang w:val="en-US" w:eastAsia="zh-CN" w:bidi="ar-SA"/>
              </w:rPr>
            </w:pPr>
            <w:r>
              <w:rPr>
                <w:rFonts w:hint="default" w:ascii="Times New Roman" w:hAnsi="Times New Roman" w:eastAsia="宋体" w:cs="Times New Roman"/>
                <w:color w:val="auto"/>
                <w:spacing w:val="-5"/>
                <w:sz w:val="21"/>
                <w:szCs w:val="21"/>
                <w:highlight w:val="none"/>
              </w:rPr>
              <w:t>根据《</w:t>
            </w:r>
            <w:r>
              <w:rPr>
                <w:rFonts w:hint="default" w:ascii="Times New Roman" w:hAnsi="Times New Roman" w:eastAsia="宋体" w:cs="Times New Roman"/>
                <w:color w:val="auto"/>
                <w:spacing w:val="-5"/>
                <w:sz w:val="21"/>
                <w:szCs w:val="21"/>
                <w:highlight w:val="none"/>
              </w:rPr>
              <w:fldChar w:fldCharType="begin"/>
            </w:r>
            <w:r>
              <w:rPr>
                <w:rFonts w:hint="default" w:ascii="Times New Roman" w:hAnsi="Times New Roman" w:eastAsia="宋体" w:cs="Times New Roman"/>
                <w:color w:val="auto"/>
                <w:spacing w:val="-5"/>
                <w:sz w:val="21"/>
                <w:szCs w:val="21"/>
                <w:highlight w:val="none"/>
              </w:rPr>
              <w:instrText xml:space="preserve"> HYPERLINK "http://kjs.mep.gov.cn/hjbhbz/bzwb/shjbh/xgbzh/201705/W020170511332490849000.pdf" </w:instrText>
            </w:r>
            <w:r>
              <w:rPr>
                <w:rFonts w:hint="default" w:ascii="Times New Roman" w:hAnsi="Times New Roman" w:eastAsia="宋体" w:cs="Times New Roman"/>
                <w:color w:val="auto"/>
                <w:spacing w:val="-5"/>
                <w:sz w:val="21"/>
                <w:szCs w:val="21"/>
                <w:highlight w:val="none"/>
              </w:rPr>
              <w:fldChar w:fldCharType="separate"/>
            </w:r>
            <w:r>
              <w:rPr>
                <w:rFonts w:hint="default" w:ascii="Times New Roman" w:hAnsi="Times New Roman" w:eastAsia="宋体" w:cs="Times New Roman"/>
                <w:color w:val="auto"/>
                <w:spacing w:val="-5"/>
                <w:sz w:val="21"/>
                <w:szCs w:val="21"/>
                <w:highlight w:val="none"/>
              </w:rPr>
              <w:t>排污单位自行监测技术指南火力发电及锅炉》（HJ820-2017）</w:t>
            </w:r>
            <w:r>
              <w:rPr>
                <w:rFonts w:hint="default" w:ascii="Times New Roman" w:hAnsi="Times New Roman" w:eastAsia="宋体" w:cs="Times New Roman"/>
                <w:color w:val="auto"/>
                <w:spacing w:val="-5"/>
                <w:sz w:val="21"/>
                <w:szCs w:val="21"/>
                <w:highlight w:val="none"/>
              </w:rPr>
              <w:fldChar w:fldCharType="end"/>
            </w:r>
            <w:r>
              <w:rPr>
                <w:rFonts w:hint="default" w:ascii="Times New Roman" w:hAnsi="Times New Roman" w:eastAsia="宋体" w:cs="Times New Roman"/>
                <w:color w:val="auto"/>
                <w:spacing w:val="-5"/>
                <w:sz w:val="21"/>
                <w:szCs w:val="21"/>
                <w:highlight w:val="none"/>
              </w:rPr>
              <w:t>，并结合</w:t>
            </w:r>
            <w:r>
              <w:rPr>
                <w:rFonts w:hint="default" w:ascii="Times New Roman" w:hAnsi="Times New Roman" w:eastAsia="宋体" w:cs="Times New Roman"/>
                <w:color w:val="auto"/>
                <w:spacing w:val="-5"/>
                <w:sz w:val="21"/>
                <w:szCs w:val="21"/>
                <w:highlight w:val="none"/>
                <w:lang w:val="en-US" w:eastAsia="zh-CN"/>
              </w:rPr>
              <w:t>企业</w:t>
            </w:r>
            <w:r>
              <w:rPr>
                <w:rFonts w:hint="default" w:ascii="Times New Roman" w:hAnsi="Times New Roman" w:eastAsia="宋体" w:cs="Times New Roman"/>
                <w:color w:val="auto"/>
                <w:spacing w:val="-5"/>
                <w:sz w:val="21"/>
                <w:szCs w:val="21"/>
                <w:highlight w:val="none"/>
              </w:rPr>
              <w:t>的实际排污状况制定废气监测计划。</w:t>
            </w:r>
          </w:p>
          <w:p w14:paraId="3C3B2C64">
            <w:pPr>
              <w:keepNext/>
              <w:widowControl/>
              <w:jc w:val="center"/>
              <w:rPr>
                <w:rFonts w:hint="default" w:ascii="Times New Roman" w:hAnsi="Times New Roman" w:eastAsia="宋体" w:cs="Times New Roman"/>
                <w:b/>
                <w:color w:val="auto"/>
                <w:kern w:val="2"/>
                <w:sz w:val="21"/>
                <w:szCs w:val="22"/>
                <w:highlight w:val="none"/>
                <w:lang w:val="en-US" w:eastAsia="zh-CN" w:bidi="ar-SA"/>
              </w:rPr>
            </w:pPr>
            <w:r>
              <w:rPr>
                <w:rFonts w:hint="default" w:ascii="Times New Roman" w:hAnsi="Times New Roman" w:eastAsia="宋体" w:cs="Times New Roman"/>
                <w:b/>
                <w:color w:val="auto"/>
                <w:kern w:val="2"/>
                <w:sz w:val="21"/>
                <w:szCs w:val="22"/>
                <w:highlight w:val="none"/>
                <w:lang w:val="en-US" w:eastAsia="zh-CN" w:bidi="ar-SA"/>
              </w:rPr>
              <w:t>表4-4 本项目大气污染源监测计划</w:t>
            </w:r>
          </w:p>
          <w:tbl>
            <w:tblPr>
              <w:tblStyle w:val="4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09"/>
              <w:gridCol w:w="1427"/>
              <w:gridCol w:w="1540"/>
              <w:gridCol w:w="1107"/>
              <w:gridCol w:w="2926"/>
            </w:tblGrid>
            <w:tr w14:paraId="5810DD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43" w:type="pct"/>
                  <w:gridSpan w:val="2"/>
                  <w:noWrap w:val="0"/>
                  <w:vAlign w:val="center"/>
                </w:tcPr>
                <w:p w14:paraId="53B751B3">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排污类别</w:t>
                  </w:r>
                </w:p>
              </w:tc>
              <w:tc>
                <w:tcPr>
                  <w:tcW w:w="847" w:type="pct"/>
                  <w:noWrap w:val="0"/>
                  <w:vAlign w:val="center"/>
                </w:tcPr>
                <w:p w14:paraId="592226F5">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监测点位</w:t>
                  </w:r>
                </w:p>
              </w:tc>
              <w:tc>
                <w:tcPr>
                  <w:tcW w:w="914" w:type="pct"/>
                  <w:noWrap w:val="0"/>
                  <w:vAlign w:val="center"/>
                </w:tcPr>
                <w:p w14:paraId="1F19238B">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监测指标</w:t>
                  </w:r>
                </w:p>
              </w:tc>
              <w:tc>
                <w:tcPr>
                  <w:tcW w:w="657" w:type="pct"/>
                  <w:noWrap w:val="0"/>
                  <w:vAlign w:val="center"/>
                </w:tcPr>
                <w:p w14:paraId="70EE4DEF">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监测频次</w:t>
                  </w:r>
                </w:p>
              </w:tc>
              <w:tc>
                <w:tcPr>
                  <w:tcW w:w="1737" w:type="pct"/>
                  <w:noWrap w:val="0"/>
                  <w:vAlign w:val="center"/>
                </w:tcPr>
                <w:p w14:paraId="64AF0D13">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执行标准</w:t>
                  </w:r>
                </w:p>
              </w:tc>
            </w:tr>
            <w:tr w14:paraId="2ED030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422" w:type="pct"/>
                  <w:vMerge w:val="restart"/>
                  <w:noWrap w:val="0"/>
                  <w:vAlign w:val="center"/>
                </w:tcPr>
                <w:p w14:paraId="683E7AB7">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废气</w:t>
                  </w:r>
                </w:p>
              </w:tc>
              <w:tc>
                <w:tcPr>
                  <w:tcW w:w="421" w:type="pct"/>
                  <w:noWrap w:val="0"/>
                  <w:vAlign w:val="center"/>
                </w:tcPr>
                <w:p w14:paraId="160296B3">
                  <w:pPr>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有组织</w:t>
                  </w:r>
                </w:p>
              </w:tc>
              <w:tc>
                <w:tcPr>
                  <w:tcW w:w="847" w:type="pct"/>
                  <w:noWrap w:val="0"/>
                  <w:vAlign w:val="center"/>
                </w:tcPr>
                <w:p w14:paraId="1EDA4EC4">
                  <w:pPr>
                    <w:jc w:val="center"/>
                    <w:rPr>
                      <w:rFonts w:hint="default" w:ascii="Times New Roman" w:hAnsi="Times New Roman" w:eastAsia="宋体" w:cs="Times New Roman"/>
                      <w:bCs/>
                      <w:color w:val="auto"/>
                      <w:kern w:val="0"/>
                      <w:sz w:val="21"/>
                      <w:szCs w:val="21"/>
                      <w:highlight w:val="none"/>
                      <w:lang w:val="en-US"/>
                    </w:rPr>
                  </w:pPr>
                  <w:r>
                    <w:rPr>
                      <w:rFonts w:hint="default" w:ascii="Times New Roman" w:hAnsi="Times New Roman" w:eastAsia="宋体" w:cs="Times New Roman"/>
                      <w:bCs/>
                      <w:color w:val="auto"/>
                      <w:kern w:val="0"/>
                      <w:sz w:val="21"/>
                      <w:szCs w:val="21"/>
                      <w:highlight w:val="none"/>
                      <w:lang w:val="en-US" w:eastAsia="zh-CN"/>
                    </w:rPr>
                    <w:t>DA001</w:t>
                  </w:r>
                </w:p>
              </w:tc>
              <w:tc>
                <w:tcPr>
                  <w:tcW w:w="914" w:type="pct"/>
                  <w:noWrap w:val="0"/>
                  <w:vAlign w:val="center"/>
                </w:tcPr>
                <w:p w14:paraId="55393A10">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eastAsia="宋体" w:cs="Times New Roman"/>
                      <w:bCs/>
                      <w:color w:val="auto"/>
                      <w:kern w:val="0"/>
                      <w:sz w:val="21"/>
                      <w:szCs w:val="21"/>
                      <w:highlight w:val="none"/>
                    </w:rPr>
                    <w:t>颗粒物</w:t>
                  </w:r>
                </w:p>
                <w:p w14:paraId="6A0FA0D8">
                  <w:pPr>
                    <w:jc w:val="center"/>
                    <w:rPr>
                      <w:rFonts w:hint="default" w:ascii="Times New Roman" w:hAnsi="Times New Roman" w:eastAsia="宋体" w:cs="Times New Roman"/>
                      <w:bCs/>
                      <w:color w:val="auto"/>
                      <w:kern w:val="0"/>
                      <w:sz w:val="21"/>
                      <w:szCs w:val="21"/>
                      <w:highlight w:val="none"/>
                    </w:rPr>
                  </w:pPr>
                  <w:r>
                    <w:rPr>
                      <w:rFonts w:hint="default" w:ascii="Times New Roman" w:hAnsi="Times New Roman" w:eastAsia="宋体" w:cs="Times New Roman"/>
                      <w:bCs/>
                      <w:color w:val="auto"/>
                      <w:kern w:val="0"/>
                      <w:sz w:val="21"/>
                      <w:szCs w:val="21"/>
                      <w:highlight w:val="none"/>
                    </w:rPr>
                    <w:t>二氧化硫</w:t>
                  </w:r>
                </w:p>
                <w:p w14:paraId="2A96ED0A">
                  <w:pPr>
                    <w:pStyle w:val="32"/>
                    <w:ind w:left="0" w:leftChars="0" w:firstLine="0" w:firstLineChars="0"/>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eastAsia="宋体" w:cs="Times New Roman"/>
                      <w:bCs/>
                      <w:color w:val="auto"/>
                      <w:kern w:val="0"/>
                      <w:sz w:val="21"/>
                      <w:szCs w:val="21"/>
                      <w:highlight w:val="none"/>
                      <w:lang w:val="en-US" w:eastAsia="zh-CN"/>
                    </w:rPr>
                    <w:t>氮氧化物</w:t>
                  </w:r>
                </w:p>
                <w:p w14:paraId="1B1AAE9C">
                  <w:pPr>
                    <w:pStyle w:val="32"/>
                    <w:ind w:left="0" w:leftChars="0" w:firstLine="0" w:firstLineChars="0"/>
                    <w:jc w:val="center"/>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bCs/>
                      <w:color w:val="auto"/>
                      <w:kern w:val="0"/>
                      <w:sz w:val="21"/>
                      <w:szCs w:val="21"/>
                      <w:highlight w:val="none"/>
                      <w:lang w:val="en-US" w:eastAsia="zh-CN"/>
                    </w:rPr>
                    <w:t>林格曼黑度</w:t>
                  </w:r>
                </w:p>
              </w:tc>
              <w:tc>
                <w:tcPr>
                  <w:tcW w:w="657" w:type="pct"/>
                  <w:noWrap w:val="0"/>
                  <w:vAlign w:val="center"/>
                </w:tcPr>
                <w:p w14:paraId="5D0DD71A">
                  <w:pPr>
                    <w:jc w:val="center"/>
                    <w:rPr>
                      <w:rFonts w:hint="default" w:ascii="Times New Roman" w:hAnsi="Times New Roman" w:eastAsia="宋体" w:cs="Times New Roman"/>
                      <w:bCs/>
                      <w:color w:val="auto"/>
                      <w:kern w:val="0"/>
                      <w:sz w:val="21"/>
                      <w:szCs w:val="21"/>
                      <w:highlight w:val="none"/>
                      <w:lang w:eastAsia="zh-CN"/>
                    </w:rPr>
                  </w:pPr>
                  <w:r>
                    <w:rPr>
                      <w:rFonts w:hint="default" w:ascii="Times New Roman" w:hAnsi="Times New Roman" w:eastAsia="宋体" w:cs="Times New Roman"/>
                      <w:bCs/>
                      <w:color w:val="auto"/>
                      <w:kern w:val="0"/>
                      <w:sz w:val="21"/>
                      <w:szCs w:val="21"/>
                      <w:highlight w:val="none"/>
                    </w:rPr>
                    <w:t>1次/</w:t>
                  </w:r>
                  <w:r>
                    <w:rPr>
                      <w:rFonts w:hint="default" w:ascii="Times New Roman" w:hAnsi="Times New Roman" w:eastAsia="宋体" w:cs="Times New Roman"/>
                      <w:bCs/>
                      <w:color w:val="auto"/>
                      <w:kern w:val="0"/>
                      <w:sz w:val="21"/>
                      <w:szCs w:val="21"/>
                      <w:highlight w:val="none"/>
                      <w:lang w:val="en-US" w:eastAsia="zh-CN"/>
                    </w:rPr>
                    <w:t>月</w:t>
                  </w:r>
                </w:p>
              </w:tc>
              <w:tc>
                <w:tcPr>
                  <w:tcW w:w="1737" w:type="pct"/>
                  <w:noWrap w:val="0"/>
                  <w:vAlign w:val="center"/>
                </w:tcPr>
                <w:p w14:paraId="7774BE12">
                  <w:pPr>
                    <w:jc w:val="center"/>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color w:val="auto"/>
                      <w:sz w:val="21"/>
                      <w:szCs w:val="21"/>
                      <w:highlight w:val="none"/>
                    </w:rPr>
                    <w:t>《锅炉大气污染物排放标准》（GB13271-2014）</w:t>
                  </w:r>
                  <w:r>
                    <w:rPr>
                      <w:rFonts w:hint="default" w:ascii="Times New Roman" w:hAnsi="Times New Roman" w:eastAsia="宋体" w:cs="Times New Roman"/>
                      <w:color w:val="auto"/>
                      <w:sz w:val="21"/>
                      <w:szCs w:val="21"/>
                      <w:highlight w:val="none"/>
                      <w:lang w:eastAsia="zh-CN"/>
                    </w:rPr>
                    <w:t>表</w:t>
                  </w:r>
                  <w:r>
                    <w:rPr>
                      <w:rFonts w:hint="eastAsia" w:cs="Times New Roman"/>
                      <w:color w:val="auto"/>
                      <w:sz w:val="21"/>
                      <w:szCs w:val="21"/>
                      <w:highlight w:val="none"/>
                      <w:lang w:val="en-US" w:eastAsia="zh-CN"/>
                    </w:rPr>
                    <w:t>2新建锅炉大气污染物排放限值</w:t>
                  </w:r>
                </w:p>
              </w:tc>
            </w:tr>
            <w:tr w14:paraId="03126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422" w:type="pct"/>
                  <w:vMerge w:val="continue"/>
                  <w:noWrap w:val="0"/>
                  <w:vAlign w:val="center"/>
                </w:tcPr>
                <w:p w14:paraId="1964AFD7">
                  <w:pPr>
                    <w:jc w:val="center"/>
                    <w:rPr>
                      <w:rFonts w:hint="default" w:ascii="Times New Roman" w:hAnsi="Times New Roman" w:eastAsia="宋体" w:cs="Times New Roman"/>
                      <w:bCs/>
                      <w:color w:val="auto"/>
                      <w:sz w:val="21"/>
                      <w:szCs w:val="21"/>
                      <w:highlight w:val="none"/>
                    </w:rPr>
                  </w:pPr>
                </w:p>
              </w:tc>
              <w:tc>
                <w:tcPr>
                  <w:tcW w:w="421" w:type="pct"/>
                  <w:noWrap w:val="0"/>
                  <w:vAlign w:val="center"/>
                </w:tcPr>
                <w:p w14:paraId="272338F4">
                  <w:pPr>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无组织</w:t>
                  </w:r>
                </w:p>
              </w:tc>
              <w:tc>
                <w:tcPr>
                  <w:tcW w:w="847" w:type="pct"/>
                  <w:noWrap w:val="0"/>
                  <w:vAlign w:val="center"/>
                </w:tcPr>
                <w:p w14:paraId="4291877F">
                  <w:pPr>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eastAsia="宋体" w:cs="Times New Roman"/>
                      <w:bCs/>
                      <w:color w:val="auto"/>
                      <w:kern w:val="0"/>
                      <w:sz w:val="21"/>
                      <w:szCs w:val="21"/>
                      <w:highlight w:val="none"/>
                      <w:lang w:val="en-US" w:eastAsia="zh-CN"/>
                    </w:rPr>
                    <w:t>厂界</w:t>
                  </w:r>
                </w:p>
              </w:tc>
              <w:tc>
                <w:tcPr>
                  <w:tcW w:w="914" w:type="pct"/>
                  <w:noWrap w:val="0"/>
                  <w:vAlign w:val="center"/>
                </w:tcPr>
                <w:p w14:paraId="40FF02AB">
                  <w:pPr>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eastAsia="宋体" w:cs="Times New Roman"/>
                      <w:bCs/>
                      <w:color w:val="auto"/>
                      <w:kern w:val="0"/>
                      <w:sz w:val="21"/>
                      <w:szCs w:val="21"/>
                      <w:highlight w:val="none"/>
                      <w:lang w:val="en-US" w:eastAsia="zh-CN"/>
                    </w:rPr>
                    <w:t>颗粒物</w:t>
                  </w:r>
                </w:p>
              </w:tc>
              <w:tc>
                <w:tcPr>
                  <w:tcW w:w="657" w:type="pct"/>
                  <w:noWrap w:val="0"/>
                  <w:vAlign w:val="center"/>
                </w:tcPr>
                <w:p w14:paraId="4BAF08C5">
                  <w:pPr>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eastAsia="宋体" w:cs="Times New Roman"/>
                      <w:bCs/>
                      <w:color w:val="auto"/>
                      <w:kern w:val="0"/>
                      <w:sz w:val="21"/>
                      <w:szCs w:val="21"/>
                      <w:highlight w:val="none"/>
                    </w:rPr>
                    <w:t>1次/</w:t>
                  </w:r>
                  <w:r>
                    <w:rPr>
                      <w:rFonts w:hint="default" w:ascii="Times New Roman" w:hAnsi="Times New Roman" w:eastAsia="宋体" w:cs="Times New Roman"/>
                      <w:bCs/>
                      <w:color w:val="auto"/>
                      <w:kern w:val="0"/>
                      <w:sz w:val="21"/>
                      <w:szCs w:val="21"/>
                      <w:highlight w:val="none"/>
                      <w:lang w:val="en-US" w:eastAsia="zh-CN"/>
                    </w:rPr>
                    <w:t>季度</w:t>
                  </w:r>
                </w:p>
              </w:tc>
              <w:tc>
                <w:tcPr>
                  <w:tcW w:w="1737" w:type="pct"/>
                  <w:noWrap w:val="0"/>
                  <w:vAlign w:val="center"/>
                </w:tcPr>
                <w:p w14:paraId="412822B5">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《大气污染物综合排放标准》(GB16297-1996)表2中无组织排放标准限值</w:t>
                  </w:r>
                </w:p>
              </w:tc>
            </w:tr>
          </w:tbl>
          <w:p w14:paraId="2C832D69">
            <w:pPr>
              <w:spacing w:line="360" w:lineRule="auto"/>
              <w:ind w:firstLine="420" w:firstLineChars="200"/>
              <w:contextualSpacing/>
              <w:rPr>
                <w:rFonts w:hint="default" w:ascii="Times New Roman" w:hAnsi="Times New Roman" w:eastAsia="宋体" w:cs="Times New Roman"/>
                <w:b w:val="0"/>
                <w:bCs w:val="0"/>
                <w:color w:val="auto"/>
                <w:sz w:val="21"/>
                <w:highlight w:val="none"/>
              </w:rPr>
            </w:pP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lang w:val="en-US" w:eastAsia="zh-CN"/>
              </w:rPr>
              <w:t>6</w:t>
            </w: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rPr>
              <w:t>达标排放分析及废气排放环境影响</w:t>
            </w:r>
          </w:p>
          <w:p w14:paraId="387E7EBE">
            <w:pPr>
              <w:autoSpaceDE w:val="0"/>
              <w:autoSpaceDN w:val="0"/>
              <w:spacing w:line="360" w:lineRule="auto"/>
              <w:ind w:firstLine="420" w:firstLineChars="200"/>
              <w:contextualSpacing/>
              <w:rPr>
                <w:rFonts w:hint="default" w:ascii="Times New Roman" w:hAnsi="Times New Roman" w:eastAsia="宋体" w:cs="Times New Roman"/>
                <w:bCs/>
                <w:color w:val="auto"/>
                <w:sz w:val="21"/>
                <w:highlight w:val="none"/>
              </w:rPr>
            </w:pPr>
            <w:r>
              <w:rPr>
                <w:rFonts w:hint="default" w:ascii="Times New Roman" w:hAnsi="Times New Roman" w:eastAsia="宋体" w:cs="Times New Roman"/>
                <w:color w:val="auto"/>
                <w:sz w:val="21"/>
                <w:highlight w:val="none"/>
              </w:rPr>
              <w:t>本项目生物质锅炉</w:t>
            </w:r>
            <w:r>
              <w:rPr>
                <w:rFonts w:hint="default" w:ascii="Times New Roman" w:hAnsi="Times New Roman" w:eastAsia="宋体" w:cs="Times New Roman"/>
                <w:color w:val="auto"/>
                <w:sz w:val="21"/>
                <w:szCs w:val="24"/>
                <w:highlight w:val="none"/>
                <w:lang w:val="en-US" w:eastAsia="zh-CN"/>
              </w:rPr>
              <w:t>采取旋风除尘器+布袋除尘器</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val="en-US" w:eastAsia="zh-CN"/>
              </w:rPr>
              <w:t>去除</w:t>
            </w:r>
            <w:r>
              <w:rPr>
                <w:rFonts w:hint="default" w:ascii="Times New Roman" w:hAnsi="Times New Roman" w:eastAsia="宋体" w:cs="Times New Roman"/>
                <w:color w:val="auto"/>
                <w:sz w:val="21"/>
                <w:szCs w:val="24"/>
                <w:highlight w:val="none"/>
              </w:rPr>
              <w:t>效率为</w:t>
            </w:r>
            <w:r>
              <w:rPr>
                <w:rFonts w:hint="default" w:ascii="Times New Roman" w:hAnsi="Times New Roman" w:eastAsia="宋体" w:cs="Times New Roman"/>
                <w:color w:val="auto"/>
                <w:sz w:val="21"/>
                <w:szCs w:val="24"/>
                <w:highlight w:val="none"/>
                <w:lang w:eastAsia="zh-CN"/>
              </w:rPr>
              <w:t>99</w:t>
            </w:r>
            <w:r>
              <w:rPr>
                <w:rFonts w:hint="default" w:ascii="Times New Roman" w:hAnsi="Times New Roman" w:eastAsia="宋体" w:cs="Times New Roman"/>
                <w:color w:val="auto"/>
                <w:sz w:val="21"/>
                <w:szCs w:val="24"/>
                <w:highlight w:val="none"/>
                <w:lang w:val="en-US" w:eastAsia="zh-CN"/>
              </w:rPr>
              <w:t>.</w:t>
            </w:r>
            <w:r>
              <w:rPr>
                <w:rFonts w:hint="eastAsia" w:cs="Times New Roman"/>
                <w:color w:val="auto"/>
                <w:sz w:val="21"/>
                <w:szCs w:val="24"/>
                <w:highlight w:val="none"/>
                <w:lang w:val="en-US" w:eastAsia="zh-CN"/>
              </w:rPr>
              <w:t>7</w:t>
            </w:r>
            <w:r>
              <w:rPr>
                <w:rFonts w:hint="default" w:ascii="Times New Roman" w:hAnsi="Times New Roman" w:eastAsia="宋体" w:cs="Times New Roman"/>
                <w:color w:val="auto"/>
                <w:sz w:val="21"/>
                <w:szCs w:val="24"/>
                <w:highlight w:val="none"/>
                <w:lang w:eastAsia="zh-CN"/>
              </w:rPr>
              <w:t>%</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val="en-US" w:eastAsia="zh-CN"/>
              </w:rPr>
              <w:t>治理措施</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val="en-US" w:eastAsia="zh-CN"/>
              </w:rPr>
              <w:t>经处理后的废气</w:t>
            </w:r>
            <w:r>
              <w:rPr>
                <w:rFonts w:hint="default" w:ascii="Times New Roman" w:hAnsi="Times New Roman" w:eastAsia="宋体" w:cs="Times New Roman"/>
                <w:color w:val="auto"/>
                <w:sz w:val="21"/>
                <w:szCs w:val="24"/>
                <w:highlight w:val="none"/>
              </w:rPr>
              <w:t>由1根</w:t>
            </w:r>
            <w:r>
              <w:rPr>
                <w:rFonts w:hint="eastAsia" w:cs="Times New Roman"/>
                <w:color w:val="auto"/>
                <w:sz w:val="21"/>
                <w:szCs w:val="24"/>
                <w:highlight w:val="none"/>
                <w:lang w:val="en-US" w:eastAsia="zh-CN"/>
              </w:rPr>
              <w:t>35m</w:t>
            </w:r>
            <w:r>
              <w:rPr>
                <w:rFonts w:hint="default" w:ascii="Times New Roman" w:hAnsi="Times New Roman" w:eastAsia="宋体" w:cs="Times New Roman"/>
                <w:color w:val="auto"/>
                <w:sz w:val="21"/>
                <w:szCs w:val="24"/>
                <w:highlight w:val="none"/>
              </w:rPr>
              <w:t>高烟囱排放</w:t>
            </w:r>
            <w:r>
              <w:rPr>
                <w:rFonts w:hint="default" w:ascii="Times New Roman" w:hAnsi="Times New Roman" w:eastAsia="宋体" w:cs="Times New Roman"/>
                <w:color w:val="auto"/>
                <w:sz w:val="21"/>
                <w:szCs w:val="24"/>
                <w:highlight w:val="none"/>
                <w:lang w:eastAsia="zh-CN"/>
              </w:rPr>
              <w:t>，</w:t>
            </w:r>
            <w:r>
              <w:rPr>
                <w:rFonts w:hint="default" w:ascii="Times New Roman" w:hAnsi="Times New Roman" w:eastAsia="宋体" w:cs="Times New Roman"/>
                <w:color w:val="auto"/>
                <w:sz w:val="21"/>
                <w:highlight w:val="none"/>
              </w:rPr>
              <w:t>颗粒物</w:t>
            </w:r>
            <w:r>
              <w:rPr>
                <w:rFonts w:hint="default" w:ascii="Times New Roman" w:hAnsi="Times New Roman" w:eastAsia="宋体" w:cs="Times New Roman"/>
                <w:color w:val="auto"/>
                <w:sz w:val="21"/>
                <w:szCs w:val="24"/>
                <w:highlight w:val="none"/>
              </w:rPr>
              <w:t>排放浓度为</w:t>
            </w:r>
            <w:r>
              <w:rPr>
                <w:rFonts w:hint="eastAsia" w:cs="Times New Roman"/>
                <w:color w:val="auto"/>
                <w:sz w:val="21"/>
                <w:szCs w:val="24"/>
                <w:highlight w:val="none"/>
                <w:lang w:val="en-US" w:eastAsia="zh-CN"/>
              </w:rPr>
              <w:t>16.01</w:t>
            </w:r>
            <w:r>
              <w:rPr>
                <w:rFonts w:hint="default" w:ascii="Times New Roman" w:hAnsi="Times New Roman" w:eastAsia="宋体" w:cs="Times New Roman"/>
                <w:color w:val="auto"/>
                <w:sz w:val="21"/>
                <w:szCs w:val="24"/>
                <w:highlight w:val="none"/>
              </w:rPr>
              <w:t>mg/m</w:t>
            </w:r>
            <w:r>
              <w:rPr>
                <w:rFonts w:hint="default" w:ascii="Times New Roman" w:hAnsi="Times New Roman" w:eastAsia="宋体" w:cs="Times New Roman"/>
                <w:color w:val="auto"/>
                <w:sz w:val="21"/>
                <w:szCs w:val="24"/>
                <w:highlight w:val="none"/>
                <w:vertAlign w:val="superscript"/>
              </w:rPr>
              <w:t>3</w:t>
            </w:r>
            <w:r>
              <w:rPr>
                <w:rFonts w:hint="default" w:ascii="Times New Roman" w:hAnsi="Times New Roman" w:eastAsia="宋体" w:cs="Times New Roman"/>
                <w:color w:val="auto"/>
                <w:sz w:val="21"/>
                <w:szCs w:val="24"/>
                <w:highlight w:val="none"/>
              </w:rPr>
              <w:t>，SO</w:t>
            </w:r>
            <w:r>
              <w:rPr>
                <w:rFonts w:hint="default" w:ascii="Times New Roman" w:hAnsi="Times New Roman" w:eastAsia="宋体" w:cs="Times New Roman"/>
                <w:color w:val="auto"/>
                <w:sz w:val="21"/>
                <w:szCs w:val="24"/>
                <w:highlight w:val="none"/>
                <w:vertAlign w:val="subscript"/>
              </w:rPr>
              <w:t>2</w:t>
            </w:r>
            <w:r>
              <w:rPr>
                <w:rFonts w:hint="default" w:ascii="Times New Roman" w:hAnsi="Times New Roman" w:eastAsia="宋体" w:cs="Times New Roman"/>
                <w:color w:val="auto"/>
                <w:sz w:val="21"/>
                <w:szCs w:val="24"/>
                <w:highlight w:val="none"/>
              </w:rPr>
              <w:t>排放浓度为</w:t>
            </w:r>
            <w:r>
              <w:rPr>
                <w:rFonts w:hint="eastAsia" w:cs="Times New Roman"/>
                <w:color w:val="auto"/>
                <w:sz w:val="21"/>
                <w:szCs w:val="24"/>
                <w:highlight w:val="none"/>
                <w:lang w:val="en-US" w:eastAsia="zh-CN"/>
              </w:rPr>
              <w:t>97.00</w:t>
            </w:r>
            <w:r>
              <w:rPr>
                <w:rFonts w:hint="default" w:ascii="Times New Roman" w:hAnsi="Times New Roman" w:eastAsia="宋体" w:cs="Times New Roman"/>
                <w:color w:val="auto"/>
                <w:sz w:val="21"/>
                <w:szCs w:val="24"/>
                <w:highlight w:val="none"/>
              </w:rPr>
              <w:t>mg/m</w:t>
            </w:r>
            <w:r>
              <w:rPr>
                <w:rFonts w:hint="default" w:ascii="Times New Roman" w:hAnsi="Times New Roman" w:eastAsia="宋体" w:cs="Times New Roman"/>
                <w:color w:val="auto"/>
                <w:sz w:val="21"/>
                <w:szCs w:val="24"/>
                <w:highlight w:val="none"/>
                <w:vertAlign w:val="superscript"/>
              </w:rPr>
              <w:t>3</w:t>
            </w:r>
            <w:r>
              <w:rPr>
                <w:rFonts w:hint="default" w:ascii="Times New Roman" w:hAnsi="Times New Roman" w:eastAsia="宋体" w:cs="Times New Roman"/>
                <w:color w:val="auto"/>
                <w:sz w:val="21"/>
                <w:highlight w:val="none"/>
              </w:rPr>
              <w:t>，NO</w:t>
            </w:r>
            <w:r>
              <w:rPr>
                <w:rFonts w:hint="default" w:ascii="Times New Roman" w:hAnsi="Times New Roman" w:eastAsia="宋体" w:cs="Times New Roman"/>
                <w:color w:val="auto"/>
                <w:sz w:val="21"/>
                <w:highlight w:val="none"/>
                <w:vertAlign w:val="subscript"/>
              </w:rPr>
              <w:t>X</w:t>
            </w:r>
            <w:r>
              <w:rPr>
                <w:rFonts w:hint="default" w:ascii="Times New Roman" w:hAnsi="Times New Roman" w:eastAsia="宋体" w:cs="Times New Roman"/>
                <w:color w:val="auto"/>
                <w:sz w:val="21"/>
                <w:highlight w:val="none"/>
              </w:rPr>
              <w:t>排放浓度为</w:t>
            </w:r>
            <w:r>
              <w:rPr>
                <w:rFonts w:hint="eastAsia" w:cs="Times New Roman"/>
                <w:color w:val="auto"/>
                <w:sz w:val="21"/>
                <w:highlight w:val="none"/>
                <w:lang w:val="en-US" w:eastAsia="zh-CN"/>
              </w:rPr>
              <w:t>200</w:t>
            </w:r>
            <w:r>
              <w:rPr>
                <w:rFonts w:hint="default" w:ascii="Times New Roman" w:hAnsi="Times New Roman" w:eastAsia="宋体" w:cs="Times New Roman"/>
                <w:color w:val="auto"/>
                <w:sz w:val="21"/>
                <w:highlight w:val="none"/>
              </w:rPr>
              <w:t>mg/m</w:t>
            </w:r>
            <w:r>
              <w:rPr>
                <w:rFonts w:hint="default" w:ascii="Times New Roman" w:hAnsi="Times New Roman" w:eastAsia="宋体" w:cs="Times New Roman"/>
                <w:color w:val="auto"/>
                <w:sz w:val="21"/>
                <w:highlight w:val="none"/>
                <w:vertAlign w:val="superscript"/>
              </w:rPr>
              <w:t>3</w:t>
            </w:r>
            <w:r>
              <w:rPr>
                <w:rFonts w:hint="default" w:ascii="Times New Roman" w:hAnsi="Times New Roman" w:eastAsia="宋体" w:cs="Times New Roman"/>
                <w:color w:val="auto"/>
                <w:sz w:val="21"/>
                <w:highlight w:val="none"/>
              </w:rPr>
              <w:t>，烟气黑度＜1级，</w:t>
            </w:r>
            <w:r>
              <w:rPr>
                <w:rFonts w:hint="default" w:ascii="Times New Roman" w:hAnsi="Times New Roman" w:eastAsia="宋体" w:cs="Times New Roman"/>
                <w:bCs/>
                <w:color w:val="auto"/>
                <w:sz w:val="21"/>
                <w:highlight w:val="none"/>
              </w:rPr>
              <w:t>锅炉烟气中颗粒物、SO</w:t>
            </w:r>
            <w:r>
              <w:rPr>
                <w:rFonts w:hint="default" w:ascii="Times New Roman" w:hAnsi="Times New Roman" w:eastAsia="宋体" w:cs="Times New Roman"/>
                <w:bCs/>
                <w:color w:val="auto"/>
                <w:sz w:val="21"/>
                <w:highlight w:val="none"/>
                <w:vertAlign w:val="subscript"/>
              </w:rPr>
              <w:t>2</w:t>
            </w:r>
            <w:r>
              <w:rPr>
                <w:rFonts w:hint="default" w:ascii="Times New Roman" w:hAnsi="Times New Roman" w:eastAsia="宋体" w:cs="Times New Roman"/>
                <w:bCs/>
                <w:color w:val="auto"/>
                <w:sz w:val="21"/>
                <w:highlight w:val="none"/>
              </w:rPr>
              <w:t>、NO</w:t>
            </w:r>
            <w:r>
              <w:rPr>
                <w:rFonts w:hint="default" w:ascii="Times New Roman" w:hAnsi="Times New Roman" w:eastAsia="宋体" w:cs="Times New Roman"/>
                <w:bCs/>
                <w:color w:val="auto"/>
                <w:sz w:val="21"/>
                <w:highlight w:val="none"/>
                <w:vertAlign w:val="subscript"/>
              </w:rPr>
              <w:t>X</w:t>
            </w:r>
            <w:r>
              <w:rPr>
                <w:rFonts w:hint="default" w:ascii="Times New Roman" w:hAnsi="Times New Roman" w:eastAsia="宋体" w:cs="Times New Roman"/>
                <w:bCs/>
                <w:color w:val="auto"/>
                <w:sz w:val="21"/>
                <w:highlight w:val="none"/>
              </w:rPr>
              <w:t>及烟气黑度排放浓度均满足《锅炉大气污染物排放标准》（GB13271-2014）</w:t>
            </w:r>
            <w:r>
              <w:rPr>
                <w:rFonts w:hint="default" w:ascii="Times New Roman" w:hAnsi="Times New Roman" w:eastAsia="宋体" w:cs="Times New Roman"/>
                <w:color w:val="auto"/>
                <w:kern w:val="0"/>
                <w:sz w:val="21"/>
                <w:highlight w:val="none"/>
              </w:rPr>
              <w:t>表</w:t>
            </w:r>
            <w:r>
              <w:rPr>
                <w:rFonts w:hint="eastAsia" w:cs="Times New Roman"/>
                <w:color w:val="auto"/>
                <w:kern w:val="0"/>
                <w:sz w:val="21"/>
                <w:highlight w:val="none"/>
                <w:lang w:val="en-US" w:eastAsia="zh-CN"/>
              </w:rPr>
              <w:t>2新建</w:t>
            </w:r>
            <w:r>
              <w:rPr>
                <w:rFonts w:hint="default" w:ascii="Times New Roman" w:hAnsi="Times New Roman" w:eastAsia="宋体" w:cs="Times New Roman"/>
                <w:color w:val="auto"/>
                <w:kern w:val="0"/>
                <w:sz w:val="21"/>
                <w:highlight w:val="none"/>
                <w:lang w:val="en-US" w:eastAsia="zh-CN"/>
              </w:rPr>
              <w:t>锅炉</w:t>
            </w:r>
            <w:r>
              <w:rPr>
                <w:rFonts w:hint="default" w:ascii="Times New Roman" w:hAnsi="Times New Roman" w:eastAsia="宋体" w:cs="Times New Roman"/>
                <w:color w:val="auto"/>
                <w:kern w:val="0"/>
                <w:sz w:val="21"/>
                <w:highlight w:val="none"/>
              </w:rPr>
              <w:t>大气污染物排放浓度限值</w:t>
            </w:r>
            <w:r>
              <w:rPr>
                <w:rFonts w:hint="default" w:ascii="Times New Roman" w:hAnsi="Times New Roman" w:eastAsia="宋体" w:cs="Times New Roman"/>
                <w:bCs/>
                <w:color w:val="auto"/>
                <w:sz w:val="21"/>
                <w:highlight w:val="none"/>
              </w:rPr>
              <w:t>要求</w:t>
            </w:r>
            <w:r>
              <w:rPr>
                <w:rFonts w:hint="default" w:ascii="Times New Roman" w:hAnsi="Times New Roman" w:eastAsia="宋体" w:cs="Times New Roman"/>
                <w:color w:val="auto"/>
                <w:sz w:val="21"/>
                <w:highlight w:val="none"/>
              </w:rPr>
              <w:t>。</w:t>
            </w:r>
          </w:p>
          <w:p w14:paraId="7C1581D2">
            <w:pPr>
              <w:autoSpaceDE w:val="0"/>
              <w:autoSpaceDN w:val="0"/>
              <w:spacing w:line="360" w:lineRule="auto"/>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本项目燃料储存于封闭库房内；锅炉炉渣</w:t>
            </w:r>
            <w:r>
              <w:rPr>
                <w:rFonts w:hint="eastAsia" w:cs="Times New Roman"/>
                <w:color w:val="auto"/>
                <w:szCs w:val="21"/>
                <w:lang w:val="en-US" w:eastAsia="zh-CN"/>
              </w:rPr>
              <w:t>（含</w:t>
            </w:r>
            <w:r>
              <w:rPr>
                <w:rFonts w:hint="eastAsia" w:ascii="Times New Roman" w:hAnsi="Times New Roman" w:cs="Times New Roman"/>
                <w:color w:val="auto"/>
                <w:szCs w:val="21"/>
                <w:lang w:val="en-US" w:eastAsia="zh-CN"/>
              </w:rPr>
              <w:t>除尘器</w:t>
            </w:r>
            <w:r>
              <w:rPr>
                <w:rFonts w:hint="eastAsia" w:cs="Times New Roman"/>
                <w:color w:val="auto"/>
                <w:szCs w:val="21"/>
                <w:lang w:val="en-US" w:eastAsia="zh-CN"/>
              </w:rPr>
              <w:t>粉</w:t>
            </w:r>
            <w:r>
              <w:rPr>
                <w:rFonts w:hint="eastAsia" w:ascii="Times New Roman" w:hAnsi="Times New Roman" w:cs="Times New Roman"/>
                <w:color w:val="auto"/>
                <w:szCs w:val="21"/>
                <w:lang w:val="en-US" w:eastAsia="zh-CN"/>
              </w:rPr>
              <w:t>尘</w:t>
            </w:r>
            <w:r>
              <w:rPr>
                <w:rFonts w:hint="eastAsia" w:cs="Times New Roman"/>
                <w:color w:val="auto"/>
                <w:szCs w:val="21"/>
                <w:lang w:val="en-US" w:eastAsia="zh-CN"/>
              </w:rPr>
              <w:t>）</w:t>
            </w:r>
            <w:r>
              <w:rPr>
                <w:rFonts w:hint="eastAsia" w:ascii="Times New Roman" w:hAnsi="Times New Roman" w:cs="Times New Roman"/>
                <w:color w:val="auto"/>
                <w:szCs w:val="21"/>
                <w:lang w:val="en-US" w:eastAsia="zh-CN"/>
              </w:rPr>
              <w:t>密封袋装存放于封闭锅炉房中；厂界无组织颗粒物能够满足《大气污染物综合排放标准》（</w:t>
            </w:r>
            <w:r>
              <w:rPr>
                <w:rFonts w:hint="default" w:ascii="Times New Roman" w:hAnsi="Times New Roman" w:cs="Times New Roman"/>
                <w:color w:val="auto"/>
                <w:szCs w:val="21"/>
                <w:lang w:val="en-US" w:eastAsia="zh-CN"/>
              </w:rPr>
              <w:t>GB16297-1996</w:t>
            </w:r>
            <w:r>
              <w:rPr>
                <w:rFonts w:hint="eastAsia" w:ascii="Times New Roman" w:hAnsi="Times New Roman" w:cs="Times New Roman"/>
                <w:color w:val="auto"/>
                <w:szCs w:val="21"/>
                <w:lang w:val="en-US" w:eastAsia="zh-CN"/>
              </w:rPr>
              <w:t>）</w:t>
            </w:r>
            <w:r>
              <w:rPr>
                <w:rFonts w:hint="eastAsia" w:cs="Times New Roman"/>
                <w:color w:val="auto"/>
                <w:szCs w:val="21"/>
                <w:lang w:val="en-US" w:eastAsia="zh-CN"/>
              </w:rPr>
              <w:t>表</w:t>
            </w:r>
            <w:r>
              <w:rPr>
                <w:rFonts w:hint="default" w:ascii="Times New Roman" w:hAnsi="Times New Roman" w:cs="Times New Roman"/>
                <w:color w:val="auto"/>
                <w:szCs w:val="21"/>
                <w:lang w:val="en-US" w:eastAsia="zh-CN"/>
              </w:rPr>
              <w:t>2</w:t>
            </w:r>
            <w:r>
              <w:rPr>
                <w:rFonts w:hint="eastAsia" w:ascii="Times New Roman" w:hAnsi="Times New Roman" w:cs="Times New Roman"/>
                <w:color w:val="auto"/>
                <w:szCs w:val="21"/>
                <w:lang w:val="en-US" w:eastAsia="zh-CN"/>
              </w:rPr>
              <w:t>中无组织排放监控浓度限值要求。</w:t>
            </w:r>
          </w:p>
          <w:p w14:paraId="122C0781">
            <w:pPr>
              <w:autoSpaceDE w:val="0"/>
              <w:autoSpaceDN w:val="0"/>
              <w:spacing w:line="360" w:lineRule="auto"/>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综上所述，在落实污染防治措施的前提下，并保证环保设施正常运行，本项目排放的污染物对评价区域环境空气质量影响较小。</w:t>
            </w:r>
          </w:p>
          <w:p w14:paraId="703434FD">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b/>
                <w:bCs/>
                <w:color w:val="auto"/>
                <w:sz w:val="21"/>
                <w:highlight w:val="none"/>
                <w:lang w:val="en-US" w:eastAsia="zh-CN"/>
              </w:rPr>
              <w:t>2</w:t>
            </w:r>
            <w:r>
              <w:rPr>
                <w:rFonts w:hint="default" w:ascii="Times New Roman" w:hAnsi="Times New Roman" w:eastAsia="宋体" w:cs="Times New Roman"/>
                <w:b/>
                <w:bCs/>
                <w:color w:val="auto"/>
                <w:sz w:val="21"/>
                <w:highlight w:val="none"/>
              </w:rPr>
              <w:t>、废水环境影响和保护措施</w:t>
            </w:r>
          </w:p>
          <w:p w14:paraId="1601B9FD">
            <w:pPr>
              <w:spacing w:line="360" w:lineRule="auto"/>
              <w:ind w:firstLine="420" w:firstLineChars="200"/>
              <w:contextualSpacing/>
              <w:rPr>
                <w:rFonts w:hint="default" w:ascii="Times New Roman" w:hAnsi="Times New Roman" w:eastAsia="宋体" w:cs="Times New Roman"/>
                <w:b w:val="0"/>
                <w:bCs w:val="0"/>
                <w:color w:val="auto"/>
                <w:sz w:val="21"/>
                <w:szCs w:val="24"/>
                <w:highlight w:val="none"/>
                <w:lang w:val="en-US" w:eastAsia="zh-CN"/>
              </w:rPr>
            </w:pPr>
            <w:r>
              <w:rPr>
                <w:rFonts w:hint="default" w:ascii="Times New Roman" w:hAnsi="Times New Roman" w:eastAsia="宋体" w:cs="Times New Roman"/>
                <w:b w:val="0"/>
                <w:bCs w:val="0"/>
                <w:color w:val="auto"/>
                <w:sz w:val="21"/>
                <w:szCs w:val="24"/>
                <w:highlight w:val="none"/>
                <w:lang w:val="en-US" w:eastAsia="zh-CN"/>
              </w:rPr>
              <w:t>（1）</w:t>
            </w:r>
            <w:r>
              <w:rPr>
                <w:rFonts w:hint="default" w:ascii="Times New Roman" w:hAnsi="Times New Roman" w:eastAsia="宋体" w:cs="Times New Roman"/>
                <w:b w:val="0"/>
                <w:bCs w:val="0"/>
                <w:color w:val="auto"/>
                <w:sz w:val="21"/>
                <w:highlight w:val="none"/>
              </w:rPr>
              <w:t>废水源强</w:t>
            </w:r>
          </w:p>
          <w:p w14:paraId="4D77FEAF">
            <w:pPr>
              <w:tabs>
                <w:tab w:val="center" w:pos="4819"/>
                <w:tab w:val="right" w:pos="9638"/>
              </w:tabs>
              <w:spacing w:line="360" w:lineRule="auto"/>
              <w:ind w:firstLine="420" w:firstLineChars="200"/>
              <w:jc w:val="left"/>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val="en-US" w:eastAsia="zh-CN"/>
              </w:rPr>
              <w:t>生产废水：为软水制备废水和锅炉排污水，</w:t>
            </w:r>
            <w:r>
              <w:rPr>
                <w:rFonts w:hint="default" w:ascii="Times New Roman" w:hAnsi="Times New Roman" w:eastAsia="宋体" w:cs="Times New Roman"/>
                <w:color w:val="auto"/>
                <w:kern w:val="0"/>
                <w:sz w:val="21"/>
                <w:highlight w:val="none"/>
                <w:lang w:val="en-US" w:eastAsia="zh-CN"/>
              </w:rPr>
              <w:t>合计产生</w:t>
            </w:r>
            <w:r>
              <w:rPr>
                <w:rFonts w:hint="default" w:ascii="Times New Roman" w:hAnsi="Times New Roman" w:eastAsia="宋体" w:cs="Times New Roman"/>
                <w:color w:val="auto"/>
                <w:kern w:val="0"/>
                <w:sz w:val="21"/>
                <w:highlight w:val="none"/>
              </w:rPr>
              <w:t>量为</w:t>
            </w:r>
            <w:r>
              <w:rPr>
                <w:rFonts w:hint="eastAsia" w:cs="Times New Roman"/>
                <w:bCs/>
                <w:color w:val="auto"/>
                <w:sz w:val="21"/>
                <w:highlight w:val="none"/>
                <w:lang w:val="en-US" w:eastAsia="zh-CN"/>
              </w:rPr>
              <w:t>7.14</w:t>
            </w:r>
            <w:r>
              <w:rPr>
                <w:rFonts w:hint="default" w:ascii="Times New Roman" w:hAnsi="Times New Roman" w:eastAsia="宋体" w:cs="Times New Roman"/>
                <w:bCs/>
                <w:color w:val="auto"/>
                <w:sz w:val="21"/>
                <w:highlight w:val="none"/>
              </w:rPr>
              <w:t>t/d</w:t>
            </w:r>
            <w:r>
              <w:rPr>
                <w:rFonts w:hint="default" w:ascii="Times New Roman" w:hAnsi="Times New Roman" w:eastAsia="宋体" w:cs="Times New Roman"/>
                <w:bCs/>
                <w:color w:val="auto"/>
                <w:sz w:val="21"/>
                <w:highlight w:val="none"/>
                <w:lang w:eastAsia="zh-CN"/>
              </w:rPr>
              <w:t>（</w:t>
            </w:r>
            <w:r>
              <w:rPr>
                <w:rFonts w:hint="eastAsia" w:cs="Times New Roman"/>
                <w:bCs/>
                <w:color w:val="auto"/>
                <w:sz w:val="21"/>
                <w:highlight w:val="none"/>
                <w:lang w:val="en-US" w:eastAsia="zh-CN"/>
              </w:rPr>
              <w:t>1284.72</w:t>
            </w:r>
            <w:r>
              <w:rPr>
                <w:rFonts w:hint="default" w:ascii="Times New Roman" w:hAnsi="Times New Roman" w:eastAsia="宋体" w:cs="Times New Roman"/>
                <w:bCs/>
                <w:color w:val="auto"/>
                <w:sz w:val="21"/>
                <w:highlight w:val="none"/>
              </w:rPr>
              <w:t>t/a</w:t>
            </w:r>
            <w:r>
              <w:rPr>
                <w:rFonts w:hint="default" w:ascii="Times New Roman" w:hAnsi="Times New Roman" w:eastAsia="宋体" w:cs="Times New Roman"/>
                <w:bCs/>
                <w:color w:val="auto"/>
                <w:sz w:val="21"/>
                <w:highlight w:val="none"/>
                <w:lang w:eastAsia="zh-CN"/>
              </w:rPr>
              <w:t>）</w:t>
            </w:r>
            <w:r>
              <w:rPr>
                <w:rFonts w:hint="default" w:ascii="Times New Roman" w:hAnsi="Times New Roman" w:eastAsia="宋体" w:cs="Times New Roman"/>
                <w:color w:val="auto"/>
                <w:sz w:val="21"/>
                <w:szCs w:val="24"/>
                <w:highlight w:val="none"/>
                <w:lang w:val="en-US" w:eastAsia="zh-CN"/>
              </w:rPr>
              <w:t>，</w:t>
            </w:r>
            <w:r>
              <w:rPr>
                <w:rFonts w:hint="default" w:ascii="Times New Roman" w:hAnsi="Times New Roman" w:cs="Times New Roman" w:eastAsiaTheme="minorEastAsia"/>
                <w:bCs/>
                <w:color w:val="auto"/>
                <w:sz w:val="21"/>
                <w:szCs w:val="21"/>
                <w:highlight w:val="none"/>
                <w:lang w:val="en-US" w:eastAsia="zh-CN"/>
              </w:rPr>
              <w:t>其中</w:t>
            </w:r>
            <w:r>
              <w:rPr>
                <w:rFonts w:hint="eastAsia" w:cs="Times New Roman"/>
                <w:color w:val="auto"/>
                <w:sz w:val="21"/>
                <w:szCs w:val="21"/>
                <w:highlight w:val="none"/>
                <w:lang w:val="en-US" w:eastAsia="zh-CN"/>
              </w:rPr>
              <w:t>0.2</w:t>
            </w:r>
            <w:r>
              <w:rPr>
                <w:rFonts w:hint="default" w:ascii="Times New Roman" w:hAnsi="Times New Roman" w:cs="Times New Roman"/>
                <w:color w:val="auto"/>
                <w:sz w:val="21"/>
                <w:szCs w:val="21"/>
                <w:highlight w:val="none"/>
                <w:lang w:val="en-US" w:eastAsia="zh-CN"/>
              </w:rPr>
              <w:t>t/d（</w:t>
            </w:r>
            <w:r>
              <w:rPr>
                <w:rFonts w:hint="eastAsia" w:ascii="Times New Roman" w:hAnsi="Times New Roman" w:cs="Times New Roman"/>
                <w:color w:val="auto"/>
                <w:sz w:val="21"/>
                <w:szCs w:val="21"/>
                <w:highlight w:val="none"/>
                <w:lang w:val="en-US" w:eastAsia="zh-CN"/>
              </w:rPr>
              <w:t>36</w:t>
            </w:r>
            <w:r>
              <w:rPr>
                <w:rFonts w:hint="default" w:ascii="Times New Roman" w:hAnsi="Times New Roman" w:cs="Times New Roman" w:eastAsiaTheme="minorEastAsia"/>
                <w:bCs/>
                <w:color w:val="auto"/>
                <w:sz w:val="21"/>
                <w:szCs w:val="21"/>
                <w:highlight w:val="none"/>
              </w:rPr>
              <w:t>t/a</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eastAsiaTheme="minorEastAsia"/>
                <w:bCs/>
                <w:color w:val="auto"/>
                <w:sz w:val="21"/>
                <w:szCs w:val="21"/>
                <w:highlight w:val="none"/>
                <w:lang w:val="en-US" w:eastAsia="zh-CN"/>
              </w:rPr>
              <w:t>用于</w:t>
            </w:r>
            <w:r>
              <w:rPr>
                <w:rFonts w:hint="default" w:ascii="Times New Roman" w:hAnsi="Times New Roman" w:cs="Times New Roman"/>
                <w:color w:val="auto"/>
                <w:sz w:val="21"/>
                <w:szCs w:val="21"/>
                <w:highlight w:val="none"/>
                <w:lang w:val="en-US" w:eastAsia="zh-CN"/>
              </w:rPr>
              <w:t>灰渣、</w:t>
            </w:r>
            <w:r>
              <w:rPr>
                <w:rFonts w:hint="default" w:ascii="Times New Roman" w:hAnsi="Times New Roman" w:cs="Times New Roman" w:eastAsiaTheme="minorEastAsia"/>
                <w:bCs/>
                <w:color w:val="auto"/>
                <w:kern w:val="2"/>
                <w:sz w:val="21"/>
                <w:szCs w:val="21"/>
                <w:highlight w:val="none"/>
                <w:lang w:val="en-US" w:eastAsia="zh-CN" w:bidi="ar-SA"/>
              </w:rPr>
              <w:t>燃料</w:t>
            </w:r>
            <w:r>
              <w:rPr>
                <w:rFonts w:hint="default" w:ascii="Times New Roman" w:hAnsi="Times New Roman" w:cs="Times New Roman"/>
                <w:color w:val="auto"/>
                <w:sz w:val="21"/>
                <w:szCs w:val="21"/>
                <w:highlight w:val="none"/>
                <w:lang w:val="en-US" w:eastAsia="zh-CN"/>
              </w:rPr>
              <w:t>转运、储存过程洒水抑尘用水</w:t>
            </w:r>
            <w:r>
              <w:rPr>
                <w:rFonts w:hint="default" w:ascii="Times New Roman" w:hAnsi="Times New Roman" w:cs="Times New Roman" w:eastAsiaTheme="minorEastAsia"/>
                <w:bCs/>
                <w:color w:val="auto"/>
                <w:sz w:val="21"/>
                <w:szCs w:val="21"/>
                <w:highlight w:val="none"/>
              </w:rPr>
              <w:t>，</w:t>
            </w:r>
            <w:r>
              <w:rPr>
                <w:rFonts w:hint="default" w:ascii="Times New Roman" w:hAnsi="Times New Roman" w:cs="Times New Roman" w:eastAsiaTheme="minorEastAsia"/>
                <w:bCs/>
                <w:color w:val="auto"/>
                <w:sz w:val="21"/>
                <w:szCs w:val="21"/>
                <w:highlight w:val="none"/>
                <w:lang w:val="en-US" w:eastAsia="zh-CN"/>
              </w:rPr>
              <w:t>其余</w:t>
            </w:r>
            <w:r>
              <w:rPr>
                <w:rFonts w:hint="eastAsia" w:cs="Times New Roman" w:eastAsiaTheme="minorEastAsia"/>
                <w:bCs/>
                <w:color w:val="auto"/>
                <w:sz w:val="21"/>
                <w:szCs w:val="21"/>
                <w:highlight w:val="none"/>
                <w:lang w:val="en-US" w:eastAsia="zh-CN"/>
              </w:rPr>
              <w:t>6.94</w:t>
            </w:r>
            <w:r>
              <w:rPr>
                <w:rFonts w:hint="default" w:ascii="Times New Roman" w:hAnsi="Times New Roman" w:cs="Times New Roman" w:eastAsiaTheme="minorEastAsia"/>
                <w:bCs/>
                <w:color w:val="auto"/>
                <w:sz w:val="21"/>
                <w:szCs w:val="21"/>
                <w:highlight w:val="none"/>
              </w:rPr>
              <w:t>t/d</w:t>
            </w:r>
            <w:r>
              <w:rPr>
                <w:rFonts w:hint="default" w:ascii="Times New Roman" w:hAnsi="Times New Roman" w:cs="Times New Roman" w:eastAsiaTheme="minorEastAsia"/>
                <w:bCs/>
                <w:color w:val="auto"/>
                <w:sz w:val="21"/>
                <w:szCs w:val="21"/>
                <w:highlight w:val="none"/>
                <w:lang w:eastAsia="zh-CN"/>
              </w:rPr>
              <w:t>（</w:t>
            </w:r>
            <w:r>
              <w:rPr>
                <w:rFonts w:hint="eastAsia" w:cs="Times New Roman" w:eastAsiaTheme="minorEastAsia"/>
                <w:bCs/>
                <w:color w:val="auto"/>
                <w:sz w:val="21"/>
                <w:szCs w:val="21"/>
                <w:highlight w:val="none"/>
                <w:lang w:val="en-US" w:eastAsia="zh-CN"/>
              </w:rPr>
              <w:t>1248.72</w:t>
            </w:r>
            <w:r>
              <w:rPr>
                <w:rFonts w:hint="default" w:ascii="Times New Roman" w:hAnsi="Times New Roman" w:cs="Times New Roman" w:eastAsiaTheme="minorEastAsia"/>
                <w:bCs/>
                <w:color w:val="auto"/>
                <w:sz w:val="21"/>
                <w:szCs w:val="21"/>
                <w:highlight w:val="none"/>
              </w:rPr>
              <w:t>t/a</w:t>
            </w:r>
            <w:r>
              <w:rPr>
                <w:rFonts w:hint="default" w:ascii="Times New Roman" w:hAnsi="Times New Roman" w:cs="Times New Roman" w:eastAsiaTheme="minorEastAsia"/>
                <w:bCs/>
                <w:color w:val="auto"/>
                <w:sz w:val="24"/>
                <w:highlight w:val="none"/>
                <w:lang w:eastAsia="zh-CN"/>
              </w:rPr>
              <w:t>）</w:t>
            </w:r>
            <w:r>
              <w:rPr>
                <w:rFonts w:hint="eastAsia" w:cs="Times New Roman"/>
                <w:color w:val="auto"/>
                <w:sz w:val="21"/>
                <w:szCs w:val="24"/>
                <w:highlight w:val="none"/>
                <w:lang w:val="en-US" w:eastAsia="zh-CN"/>
              </w:rPr>
              <w:t>定期拉运至铁力市污水处理厂</w:t>
            </w:r>
            <w:r>
              <w:rPr>
                <w:rFonts w:hint="default" w:ascii="Times New Roman" w:hAnsi="Times New Roman" w:eastAsia="宋体" w:cs="Times New Roman"/>
                <w:smallCaps w:val="0"/>
                <w:snapToGrid w:val="0"/>
                <w:color w:val="auto"/>
                <w:kern w:val="0"/>
                <w:sz w:val="21"/>
                <w:szCs w:val="24"/>
                <w:highlight w:val="none"/>
                <w:lang w:val="en-US" w:eastAsia="zh-CN"/>
              </w:rPr>
              <w:t>处理达标后排放；</w:t>
            </w:r>
            <w:r>
              <w:rPr>
                <w:rFonts w:hint="default" w:ascii="Times New Roman" w:hAnsi="Times New Roman" w:cs="Times New Roman"/>
                <w:color w:val="auto"/>
                <w:kern w:val="0"/>
                <w:szCs w:val="21"/>
              </w:rPr>
              <w:t>根据《排放源统计调查产排污核算方法和系数手册》工业锅炉产排污系数，COD的产污系数为30克/吨-原料，生物质颗粒燃料量为</w:t>
            </w:r>
            <w:r>
              <w:rPr>
                <w:rFonts w:hint="eastAsia" w:ascii="Times New Roman" w:hAnsi="Times New Roman" w:cs="Times New Roman"/>
                <w:color w:val="auto"/>
                <w:kern w:val="0"/>
                <w:szCs w:val="21"/>
                <w:lang w:val="en-US" w:eastAsia="zh-CN"/>
              </w:rPr>
              <w:t>3608.77</w:t>
            </w:r>
            <w:r>
              <w:rPr>
                <w:rFonts w:hint="default" w:ascii="Times New Roman" w:hAnsi="Times New Roman" w:cs="Times New Roman"/>
                <w:color w:val="auto"/>
                <w:kern w:val="0"/>
                <w:szCs w:val="21"/>
              </w:rPr>
              <w:t>t/a，COD产生浓度为84.</w:t>
            </w:r>
            <w:r>
              <w:rPr>
                <w:rFonts w:hint="default" w:ascii="Times New Roman" w:hAnsi="Times New Roman" w:cs="Times New Roman"/>
                <w:color w:val="auto"/>
                <w:kern w:val="0"/>
                <w:szCs w:val="21"/>
                <w:lang w:val="en-US" w:eastAsia="zh-CN"/>
              </w:rPr>
              <w:t>27</w:t>
            </w:r>
            <w:r>
              <w:rPr>
                <w:rFonts w:hint="default" w:ascii="Times New Roman" w:hAnsi="Times New Roman" w:cs="Times New Roman"/>
                <w:color w:val="auto"/>
                <w:kern w:val="0"/>
                <w:szCs w:val="21"/>
              </w:rPr>
              <w:t>mg/L、产生量为</w:t>
            </w:r>
            <w:r>
              <w:rPr>
                <w:rFonts w:hint="eastAsia" w:ascii="Times New Roman" w:hAnsi="Times New Roman" w:cs="Times New Roman"/>
                <w:color w:val="auto"/>
                <w:kern w:val="0"/>
                <w:szCs w:val="21"/>
                <w:lang w:val="en-US" w:eastAsia="zh-CN"/>
              </w:rPr>
              <w:t>0.108</w:t>
            </w:r>
            <w:r>
              <w:rPr>
                <w:rFonts w:hint="default" w:ascii="Times New Roman" w:hAnsi="Times New Roman" w:cs="Times New Roman"/>
                <w:color w:val="auto"/>
                <w:kern w:val="0"/>
                <w:szCs w:val="21"/>
              </w:rPr>
              <w:t>t/a，</w:t>
            </w:r>
            <w:r>
              <w:rPr>
                <w:rFonts w:hint="default" w:ascii="Times New Roman" w:hAnsi="Times New Roman" w:eastAsia="宋体" w:cs="Times New Roman"/>
                <w:color w:val="auto"/>
                <w:sz w:val="21"/>
                <w:szCs w:val="24"/>
                <w:highlight w:val="none"/>
                <w:lang w:val="en-US" w:eastAsia="zh-CN"/>
              </w:rPr>
              <w:t>锅炉排污水和软化处理废水中溶解性总固体、pH排放浓度参照《绥化市麦丰农产品加工有限公司米糠膨化加工项目竣工环境保护验收监测报告表》中锅炉污水排放口监测数据（见附件</w:t>
            </w:r>
            <w:r>
              <w:rPr>
                <w:rFonts w:hint="eastAsia" w:cs="Times New Roman"/>
                <w:color w:val="auto"/>
                <w:sz w:val="21"/>
                <w:szCs w:val="24"/>
                <w:highlight w:val="none"/>
                <w:lang w:val="en-US" w:eastAsia="zh-CN"/>
              </w:rPr>
              <w:t>9</w:t>
            </w:r>
            <w:r>
              <w:rPr>
                <w:rFonts w:hint="default" w:ascii="Times New Roman" w:hAnsi="Times New Roman" w:eastAsia="宋体" w:cs="Times New Roman"/>
                <w:color w:val="auto"/>
                <w:sz w:val="21"/>
                <w:szCs w:val="24"/>
                <w:highlight w:val="none"/>
                <w:lang w:val="en-US" w:eastAsia="zh-CN"/>
              </w:rPr>
              <w:t>），溶解性总固体最大监测数据为312mg/L，pH的范围为7.3~7.9，本项目</w:t>
            </w:r>
            <w:r>
              <w:rPr>
                <w:rFonts w:hint="eastAsia" w:cs="Times New Roman"/>
                <w:color w:val="auto"/>
                <w:sz w:val="21"/>
                <w:szCs w:val="24"/>
                <w:highlight w:val="none"/>
                <w:lang w:val="en-US" w:eastAsia="zh-CN"/>
              </w:rPr>
              <w:t>与</w:t>
            </w:r>
            <w:r>
              <w:rPr>
                <w:rFonts w:hint="default" w:ascii="Times New Roman" w:hAnsi="Times New Roman" w:eastAsia="宋体" w:cs="Times New Roman"/>
                <w:color w:val="auto"/>
                <w:sz w:val="21"/>
                <w:szCs w:val="24"/>
                <w:highlight w:val="none"/>
                <w:lang w:val="en-US" w:eastAsia="zh-CN"/>
              </w:rPr>
              <w:t>《绥化市麦丰农产品加工有限公司米糠膨化加工项目》</w:t>
            </w:r>
            <w:r>
              <w:rPr>
                <w:rFonts w:hint="eastAsia" w:cs="Times New Roman"/>
                <w:color w:val="auto"/>
                <w:sz w:val="21"/>
                <w:szCs w:val="24"/>
                <w:highlight w:val="none"/>
                <w:lang w:val="en-US" w:eastAsia="zh-CN"/>
              </w:rPr>
              <w:t>均使用生物质锅炉</w:t>
            </w:r>
            <w:r>
              <w:rPr>
                <w:rFonts w:hint="default" w:ascii="Times New Roman" w:hAnsi="Times New Roman" w:eastAsia="宋体" w:cs="Times New Roman"/>
                <w:color w:val="auto"/>
                <w:sz w:val="21"/>
                <w:szCs w:val="24"/>
                <w:highlight w:val="none"/>
                <w:lang w:val="en-US" w:eastAsia="zh-CN"/>
              </w:rPr>
              <w:t>，因此类比可行</w:t>
            </w:r>
            <w:r>
              <w:rPr>
                <w:rFonts w:hint="eastAsia" w:cs="Times New Roman"/>
                <w:color w:val="auto"/>
                <w:sz w:val="21"/>
                <w:szCs w:val="24"/>
                <w:highlight w:val="none"/>
                <w:lang w:val="en-US" w:eastAsia="zh-CN"/>
              </w:rPr>
              <w:t>。</w:t>
            </w:r>
          </w:p>
          <w:p w14:paraId="4902C9C1">
            <w:pPr>
              <w:pStyle w:val="126"/>
              <w:keepNext/>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2"/>
                <w:sz w:val="21"/>
                <w:szCs w:val="22"/>
                <w:highlight w:val="none"/>
              </w:rPr>
            </w:pPr>
            <w:r>
              <w:rPr>
                <w:rFonts w:hint="default" w:ascii="Times New Roman" w:hAnsi="Times New Roman" w:eastAsia="宋体" w:cs="Times New Roman"/>
                <w:color w:val="auto"/>
                <w:sz w:val="21"/>
                <w:szCs w:val="22"/>
                <w:highlight w:val="none"/>
              </w:rPr>
              <w:t>表4-</w:t>
            </w:r>
            <w:r>
              <w:rPr>
                <w:rFonts w:hint="default" w:ascii="Times New Roman" w:hAnsi="Times New Roman" w:eastAsia="宋体" w:cs="Times New Roman"/>
                <w:color w:val="auto"/>
                <w:sz w:val="21"/>
                <w:szCs w:val="22"/>
                <w:highlight w:val="none"/>
                <w:lang w:val="en-US" w:eastAsia="zh-CN"/>
              </w:rPr>
              <w:t>5</w:t>
            </w:r>
            <w:r>
              <w:rPr>
                <w:rFonts w:hint="default" w:ascii="Times New Roman" w:hAnsi="Times New Roman" w:eastAsia="宋体" w:cs="Times New Roman"/>
                <w:color w:val="auto"/>
                <w:sz w:val="21"/>
                <w:szCs w:val="22"/>
                <w:highlight w:val="none"/>
              </w:rPr>
              <w:t xml:space="preserve">  废水污染源源强核算结果及相关参数一览表</w:t>
            </w:r>
          </w:p>
          <w:tbl>
            <w:tblPr>
              <w:tblStyle w:val="42"/>
              <w:tblW w:w="498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Layout w:type="fixed"/>
              <w:tblCellMar>
                <w:top w:w="0" w:type="dxa"/>
                <w:left w:w="108" w:type="dxa"/>
                <w:bottom w:w="0" w:type="dxa"/>
                <w:right w:w="108" w:type="dxa"/>
              </w:tblCellMar>
            </w:tblPr>
            <w:tblGrid>
              <w:gridCol w:w="516"/>
              <w:gridCol w:w="716"/>
              <w:gridCol w:w="644"/>
              <w:gridCol w:w="884"/>
              <w:gridCol w:w="731"/>
              <w:gridCol w:w="479"/>
              <w:gridCol w:w="735"/>
              <w:gridCol w:w="464"/>
              <w:gridCol w:w="674"/>
              <w:gridCol w:w="703"/>
              <w:gridCol w:w="829"/>
              <w:gridCol w:w="1025"/>
            </w:tblGrid>
            <w:tr w14:paraId="4ED86D90">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108" w:type="dxa"/>
                  <w:bottom w:w="0" w:type="dxa"/>
                  <w:right w:w="108" w:type="dxa"/>
                </w:tblCellMar>
              </w:tblPrEx>
              <w:trPr>
                <w:trHeight w:val="542" w:hRule="atLeast"/>
                <w:jc w:val="center"/>
              </w:trPr>
              <w:tc>
                <w:tcPr>
                  <w:tcW w:w="307" w:type="pct"/>
                  <w:vMerge w:val="restart"/>
                  <w:tcBorders>
                    <w:right w:val="single" w:color="auto" w:sz="4" w:space="0"/>
                    <w:tl2br w:val="nil"/>
                    <w:tr2bl w:val="nil"/>
                  </w:tcBorders>
                  <w:noWrap w:val="0"/>
                  <w:vAlign w:val="center"/>
                </w:tcPr>
                <w:p w14:paraId="290A20EC">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产污环节</w:t>
                  </w:r>
                </w:p>
              </w:tc>
              <w:tc>
                <w:tcPr>
                  <w:tcW w:w="426" w:type="pct"/>
                  <w:vMerge w:val="restart"/>
                  <w:tcBorders>
                    <w:left w:val="single" w:color="auto" w:sz="4" w:space="0"/>
                    <w:right w:val="single" w:color="auto" w:sz="4" w:space="0"/>
                    <w:tl2br w:val="nil"/>
                    <w:tr2bl w:val="nil"/>
                  </w:tcBorders>
                  <w:shd w:val="clear" w:color="auto" w:fill="auto"/>
                  <w:noWrap w:val="0"/>
                  <w:vAlign w:val="center"/>
                </w:tcPr>
                <w:p w14:paraId="17D0AF49">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类别</w:t>
                  </w:r>
                </w:p>
                <w:p w14:paraId="6D242222">
                  <w:pPr>
                    <w:keepLines w:val="0"/>
                    <w:pageBreakBefore w:val="0"/>
                    <w:widowControl w:val="0"/>
                    <w:kinsoku/>
                    <w:wordWrap/>
                    <w:overflowPunct/>
                    <w:topLinePunct w:val="0"/>
                    <w:autoSpaceDE/>
                    <w:autoSpaceDN/>
                    <w:bidi w:val="0"/>
                    <w:spacing w:line="240" w:lineRule="auto"/>
                    <w:jc w:val="center"/>
                    <w:textAlignment w:val="auto"/>
                    <w:rPr>
                      <w:rFonts w:hint="eastAsia" w:cs="Times New Roman"/>
                      <w:color w:val="auto"/>
                      <w:sz w:val="21"/>
                      <w:szCs w:val="21"/>
                      <w:highlight w:val="none"/>
                      <w:lang w:val="en-US" w:eastAsia="zh-CN"/>
                    </w:rPr>
                  </w:pPr>
                </w:p>
              </w:tc>
              <w:tc>
                <w:tcPr>
                  <w:tcW w:w="383" w:type="pct"/>
                  <w:vMerge w:val="restart"/>
                  <w:tcBorders>
                    <w:left w:val="single" w:color="auto" w:sz="4" w:space="0"/>
                    <w:tl2br w:val="nil"/>
                    <w:tr2bl w:val="nil"/>
                  </w:tcBorders>
                  <w:noWrap w:val="0"/>
                  <w:vAlign w:val="center"/>
                </w:tcPr>
                <w:p w14:paraId="71B862F3">
                  <w:pPr>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污染物</w:t>
                  </w:r>
                </w:p>
              </w:tc>
              <w:tc>
                <w:tcPr>
                  <w:tcW w:w="961" w:type="pct"/>
                  <w:gridSpan w:val="2"/>
                  <w:tcBorders>
                    <w:tl2br w:val="nil"/>
                    <w:tr2bl w:val="nil"/>
                  </w:tcBorders>
                  <w:noWrap w:val="0"/>
                  <w:vAlign w:val="center"/>
                </w:tcPr>
                <w:p w14:paraId="21EEC4EE">
                  <w:pPr>
                    <w:keepLines w:val="0"/>
                    <w:pageBreakBefore w:val="0"/>
                    <w:widowControl w:val="0"/>
                    <w:kinsoku/>
                    <w:wordWrap/>
                    <w:overflowPunct/>
                    <w:topLinePunct w:val="0"/>
                    <w:autoSpaceDE/>
                    <w:autoSpaceDN/>
                    <w:bidi w:val="0"/>
                    <w:spacing w:line="240" w:lineRule="auto"/>
                    <w:jc w:val="center"/>
                    <w:textAlignment w:val="auto"/>
                    <w:rPr>
                      <w:rFonts w:hint="default"/>
                      <w:color w:val="auto"/>
                      <w:lang w:val="en-US" w:eastAsia="zh-CN"/>
                    </w:rPr>
                  </w:pPr>
                  <w:r>
                    <w:rPr>
                      <w:rFonts w:hint="eastAsia"/>
                      <w:color w:val="auto"/>
                      <w:lang w:val="en-US" w:eastAsia="zh-CN"/>
                    </w:rPr>
                    <w:t>污染物产生情况</w:t>
                  </w:r>
                </w:p>
              </w:tc>
              <w:tc>
                <w:tcPr>
                  <w:tcW w:w="1399" w:type="pct"/>
                  <w:gridSpan w:val="4"/>
                  <w:tcBorders>
                    <w:tl2br w:val="nil"/>
                    <w:tr2bl w:val="nil"/>
                  </w:tcBorders>
                  <w:noWrap w:val="0"/>
                  <w:vAlign w:val="center"/>
                </w:tcPr>
                <w:p w14:paraId="24977F6B">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治理措施</w:t>
                  </w:r>
                </w:p>
              </w:tc>
              <w:tc>
                <w:tcPr>
                  <w:tcW w:w="1521" w:type="pct"/>
                  <w:gridSpan w:val="3"/>
                  <w:tcBorders>
                    <w:tl2br w:val="nil"/>
                    <w:tr2bl w:val="nil"/>
                  </w:tcBorders>
                  <w:noWrap w:val="0"/>
                  <w:vAlign w:val="center"/>
                </w:tcPr>
                <w:p w14:paraId="7D30EE60">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w:t>
                  </w:r>
                </w:p>
              </w:tc>
            </w:tr>
            <w:tr w14:paraId="3034CC05">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108" w:type="dxa"/>
                  <w:bottom w:w="0" w:type="dxa"/>
                  <w:right w:w="108" w:type="dxa"/>
                </w:tblCellMar>
              </w:tblPrEx>
              <w:trPr>
                <w:trHeight w:val="90" w:hRule="atLeast"/>
                <w:jc w:val="center"/>
              </w:trPr>
              <w:tc>
                <w:tcPr>
                  <w:tcW w:w="307" w:type="pct"/>
                  <w:vMerge w:val="continue"/>
                  <w:tcBorders>
                    <w:right w:val="single" w:color="auto" w:sz="4" w:space="0"/>
                    <w:tl2br w:val="nil"/>
                    <w:tr2bl w:val="nil"/>
                  </w:tcBorders>
                  <w:noWrap w:val="0"/>
                  <w:vAlign w:val="center"/>
                </w:tcPr>
                <w:p w14:paraId="19949074">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26" w:type="pct"/>
                  <w:vMerge w:val="continue"/>
                  <w:tcBorders>
                    <w:left w:val="single" w:color="auto" w:sz="4" w:space="0"/>
                    <w:right w:val="single" w:color="auto" w:sz="4" w:space="0"/>
                    <w:tl2br w:val="nil"/>
                    <w:tr2bl w:val="nil"/>
                  </w:tcBorders>
                  <w:noWrap w:val="0"/>
                  <w:vAlign w:val="center"/>
                </w:tcPr>
                <w:p w14:paraId="177D2608">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383" w:type="pct"/>
                  <w:vMerge w:val="continue"/>
                  <w:tcBorders>
                    <w:left w:val="single" w:color="auto" w:sz="4" w:space="0"/>
                    <w:tl2br w:val="nil"/>
                    <w:tr2bl w:val="nil"/>
                  </w:tcBorders>
                  <w:noWrap w:val="0"/>
                  <w:vAlign w:val="center"/>
                </w:tcPr>
                <w:p w14:paraId="4F7474C8">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526" w:type="pct"/>
                  <w:tcBorders>
                    <w:tl2br w:val="nil"/>
                    <w:tr2bl w:val="nil"/>
                  </w:tcBorders>
                  <w:shd w:val="clear" w:color="auto" w:fill="auto"/>
                  <w:noWrap w:val="0"/>
                  <w:vAlign w:val="center"/>
                </w:tcPr>
                <w:p w14:paraId="1EE354E5">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产生浓度mg/L</w:t>
                  </w:r>
                </w:p>
              </w:tc>
              <w:tc>
                <w:tcPr>
                  <w:tcW w:w="434" w:type="pct"/>
                  <w:tcBorders>
                    <w:tl2br w:val="nil"/>
                    <w:tr2bl w:val="nil"/>
                  </w:tcBorders>
                  <w:noWrap w:val="0"/>
                  <w:vAlign w:val="center"/>
                </w:tcPr>
                <w:p w14:paraId="497944A8">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产生量t/a</w:t>
                  </w:r>
                </w:p>
              </w:tc>
              <w:tc>
                <w:tcPr>
                  <w:tcW w:w="285" w:type="pct"/>
                  <w:tcBorders>
                    <w:right w:val="single" w:color="auto" w:sz="4" w:space="0"/>
                    <w:tl2br w:val="nil"/>
                    <w:tr2bl w:val="nil"/>
                  </w:tcBorders>
                  <w:noWrap w:val="0"/>
                  <w:vAlign w:val="center"/>
                </w:tcPr>
                <w:p w14:paraId="3E81B4FD">
                  <w:pPr>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处理能力</w:t>
                  </w:r>
                </w:p>
              </w:tc>
              <w:tc>
                <w:tcPr>
                  <w:tcW w:w="437" w:type="pct"/>
                  <w:tcBorders>
                    <w:left w:val="single" w:color="auto" w:sz="4" w:space="0"/>
                    <w:tl2br w:val="nil"/>
                    <w:tr2bl w:val="nil"/>
                  </w:tcBorders>
                  <w:noWrap w:val="0"/>
                  <w:vAlign w:val="center"/>
                </w:tcPr>
                <w:p w14:paraId="2D9186B0">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处理工艺</w:t>
                  </w:r>
                </w:p>
              </w:tc>
              <w:tc>
                <w:tcPr>
                  <w:tcW w:w="276" w:type="pct"/>
                  <w:tcBorders>
                    <w:tl2br w:val="nil"/>
                    <w:tr2bl w:val="nil"/>
                  </w:tcBorders>
                  <w:noWrap w:val="0"/>
                  <w:vAlign w:val="center"/>
                </w:tcPr>
                <w:p w14:paraId="31426BB8">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效率</w:t>
                  </w:r>
                </w:p>
                <w:p w14:paraId="1DF51041">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9" w:type="pct"/>
                  <w:tcBorders>
                    <w:tl2br w:val="nil"/>
                    <w:tr2bl w:val="nil"/>
                  </w:tcBorders>
                  <w:noWrap w:val="0"/>
                  <w:vAlign w:val="center"/>
                </w:tcPr>
                <w:p w14:paraId="01B19C90">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是否为可行技术</w:t>
                  </w:r>
                </w:p>
              </w:tc>
              <w:tc>
                <w:tcPr>
                  <w:tcW w:w="418" w:type="pct"/>
                  <w:tcBorders>
                    <w:tl2br w:val="nil"/>
                    <w:tr2bl w:val="nil"/>
                  </w:tcBorders>
                  <w:noWrap w:val="0"/>
                  <w:vAlign w:val="center"/>
                </w:tcPr>
                <w:p w14:paraId="0E93381F">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排放废水量m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/a</w:t>
                  </w:r>
                </w:p>
              </w:tc>
              <w:tc>
                <w:tcPr>
                  <w:tcW w:w="493" w:type="pct"/>
                  <w:tcBorders>
                    <w:tl2br w:val="nil"/>
                    <w:tr2bl w:val="nil"/>
                  </w:tcBorders>
                  <w:noWrap w:val="0"/>
                  <w:vAlign w:val="center"/>
                </w:tcPr>
                <w:p w14:paraId="44480A57">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排放浓度mg/L</w:t>
                  </w:r>
                </w:p>
              </w:tc>
              <w:tc>
                <w:tcPr>
                  <w:tcW w:w="609" w:type="pct"/>
                  <w:tcBorders>
                    <w:tl2br w:val="nil"/>
                    <w:tr2bl w:val="nil"/>
                  </w:tcBorders>
                  <w:noWrap w:val="0"/>
                  <w:vAlign w:val="center"/>
                </w:tcPr>
                <w:p w14:paraId="2D9EE9C3">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排放量t/a</w:t>
                  </w:r>
                </w:p>
              </w:tc>
            </w:tr>
            <w:tr w14:paraId="5BE03E0B">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108" w:type="dxa"/>
                  <w:bottom w:w="0" w:type="dxa"/>
                  <w:right w:w="108" w:type="dxa"/>
                </w:tblCellMar>
              </w:tblPrEx>
              <w:trPr>
                <w:trHeight w:val="591" w:hRule="atLeast"/>
                <w:jc w:val="center"/>
              </w:trPr>
              <w:tc>
                <w:tcPr>
                  <w:tcW w:w="307" w:type="pct"/>
                  <w:vMerge w:val="restart"/>
                  <w:tcBorders>
                    <w:right w:val="single" w:color="auto" w:sz="4" w:space="0"/>
                    <w:tl2br w:val="nil"/>
                    <w:tr2bl w:val="nil"/>
                  </w:tcBorders>
                  <w:noWrap w:val="0"/>
                  <w:vAlign w:val="center"/>
                </w:tcPr>
                <w:p w14:paraId="69779B20">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锅炉</w:t>
                  </w:r>
                </w:p>
              </w:tc>
              <w:tc>
                <w:tcPr>
                  <w:tcW w:w="426" w:type="pct"/>
                  <w:vMerge w:val="restart"/>
                  <w:tcBorders>
                    <w:left w:val="single" w:color="auto" w:sz="4" w:space="0"/>
                    <w:tl2br w:val="nil"/>
                    <w:tr2bl w:val="nil"/>
                  </w:tcBorders>
                  <w:shd w:val="clear" w:color="auto" w:fill="auto"/>
                  <w:noWrap w:val="0"/>
                  <w:vAlign w:val="center"/>
                </w:tcPr>
                <w:p w14:paraId="7103A46C">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锅炉排水及软水</w:t>
                  </w:r>
                  <w:r>
                    <w:rPr>
                      <w:rFonts w:hint="default" w:ascii="Times New Roman" w:hAnsi="Times New Roman" w:eastAsia="宋体" w:cs="Times New Roman"/>
                      <w:color w:val="auto"/>
                      <w:sz w:val="21"/>
                      <w:szCs w:val="21"/>
                      <w:highlight w:val="none"/>
                      <w:lang w:val="en-US" w:eastAsia="zh-CN"/>
                    </w:rPr>
                    <w:t>处理</w:t>
                  </w:r>
                  <w:r>
                    <w:rPr>
                      <w:rFonts w:hint="default" w:ascii="Times New Roman" w:hAnsi="Times New Roman" w:eastAsia="宋体" w:cs="Times New Roman"/>
                      <w:color w:val="auto"/>
                      <w:sz w:val="21"/>
                      <w:szCs w:val="21"/>
                      <w:highlight w:val="none"/>
                    </w:rPr>
                    <w:t>废</w:t>
                  </w:r>
                  <w:r>
                    <w:rPr>
                      <w:rFonts w:hint="eastAsia" w:ascii="Times New Roman" w:hAnsi="Times New Roman" w:eastAsia="宋体" w:cs="Times New Roman"/>
                      <w:color w:val="auto"/>
                      <w:sz w:val="21"/>
                      <w:szCs w:val="21"/>
                      <w:highlight w:val="none"/>
                      <w:lang w:val="en-US" w:eastAsia="zh-CN"/>
                    </w:rPr>
                    <w:t>水</w:t>
                  </w:r>
                </w:p>
              </w:tc>
              <w:tc>
                <w:tcPr>
                  <w:tcW w:w="383" w:type="pct"/>
                  <w:tcBorders>
                    <w:bottom w:val="single" w:color="auto" w:sz="4" w:space="0"/>
                    <w:tl2br w:val="nil"/>
                    <w:tr2bl w:val="nil"/>
                  </w:tcBorders>
                  <w:noWrap w:val="0"/>
                  <w:vAlign w:val="center"/>
                </w:tcPr>
                <w:p w14:paraId="2EEFE02C">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COD</w:t>
                  </w:r>
                </w:p>
              </w:tc>
              <w:tc>
                <w:tcPr>
                  <w:tcW w:w="526" w:type="pct"/>
                  <w:tcBorders>
                    <w:bottom w:val="single" w:color="auto" w:sz="4" w:space="0"/>
                    <w:tl2br w:val="nil"/>
                    <w:tr2bl w:val="nil"/>
                  </w:tcBorders>
                  <w:noWrap w:val="0"/>
                  <w:vAlign w:val="center"/>
                </w:tcPr>
                <w:p w14:paraId="2F3BC248">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84</w:t>
                  </w:r>
                  <w:r>
                    <w:rPr>
                      <w:rFonts w:hint="eastAsia" w:cs="Times New Roman"/>
                      <w:color w:val="auto"/>
                      <w:kern w:val="2"/>
                      <w:sz w:val="21"/>
                      <w:szCs w:val="21"/>
                      <w:highlight w:val="none"/>
                      <w:lang w:val="en-US" w:eastAsia="zh-CN" w:bidi="ar-SA"/>
                    </w:rPr>
                    <w:t>.27</w:t>
                  </w:r>
                </w:p>
              </w:tc>
              <w:tc>
                <w:tcPr>
                  <w:tcW w:w="434" w:type="pct"/>
                  <w:tcBorders>
                    <w:top w:val="single" w:color="auto" w:sz="4" w:space="0"/>
                    <w:tl2br w:val="nil"/>
                    <w:tr2bl w:val="nil"/>
                  </w:tcBorders>
                  <w:noWrap w:val="0"/>
                  <w:vAlign w:val="center"/>
                </w:tcPr>
                <w:p w14:paraId="0AB1E7FC">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r>
                    <w:rPr>
                      <w:rFonts w:hint="eastAsia" w:cs="Times New Roman"/>
                      <w:color w:val="auto"/>
                      <w:kern w:val="2"/>
                      <w:sz w:val="21"/>
                      <w:szCs w:val="21"/>
                      <w:highlight w:val="none"/>
                      <w:lang w:val="en-US" w:eastAsia="zh-CN" w:bidi="ar-SA"/>
                    </w:rPr>
                    <w:t>108</w:t>
                  </w:r>
                </w:p>
              </w:tc>
              <w:tc>
                <w:tcPr>
                  <w:tcW w:w="285" w:type="pct"/>
                  <w:vMerge w:val="restart"/>
                  <w:tcBorders>
                    <w:top w:val="single" w:color="auto" w:sz="4" w:space="0"/>
                    <w:right w:val="single" w:color="auto" w:sz="4" w:space="0"/>
                    <w:tl2br w:val="nil"/>
                    <w:tr2bl w:val="nil"/>
                  </w:tcBorders>
                  <w:noWrap w:val="0"/>
                  <w:vAlign w:val="center"/>
                </w:tcPr>
                <w:p w14:paraId="4F230DC5">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437" w:type="pct"/>
                  <w:vMerge w:val="restart"/>
                  <w:tcBorders>
                    <w:top w:val="single" w:color="auto" w:sz="4" w:space="0"/>
                    <w:left w:val="single" w:color="auto" w:sz="4" w:space="0"/>
                    <w:tl2br w:val="nil"/>
                    <w:tr2bl w:val="nil"/>
                  </w:tcBorders>
                  <w:noWrap w:val="0"/>
                  <w:vAlign w:val="center"/>
                </w:tcPr>
                <w:p w14:paraId="18060218">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276" w:type="pct"/>
                  <w:tcBorders>
                    <w:top w:val="single" w:color="auto" w:sz="4" w:space="0"/>
                    <w:bottom w:val="single" w:color="auto" w:sz="4" w:space="0"/>
                    <w:tl2br w:val="nil"/>
                    <w:tr2bl w:val="nil"/>
                  </w:tcBorders>
                  <w:noWrap w:val="0"/>
                  <w:vAlign w:val="center"/>
                </w:tcPr>
                <w:p w14:paraId="1693C74B">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399" w:type="pct"/>
                  <w:vMerge w:val="restart"/>
                  <w:tcBorders>
                    <w:top w:val="single" w:color="auto" w:sz="4" w:space="0"/>
                    <w:tl2br w:val="nil"/>
                    <w:tr2bl w:val="nil"/>
                  </w:tcBorders>
                  <w:noWrap w:val="0"/>
                  <w:vAlign w:val="center"/>
                </w:tcPr>
                <w:p w14:paraId="02D244A3">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418" w:type="pct"/>
                  <w:vMerge w:val="restart"/>
                  <w:tcBorders>
                    <w:tl2br w:val="nil"/>
                    <w:tr2bl w:val="nil"/>
                  </w:tcBorders>
                  <w:shd w:val="clear" w:color="auto" w:fill="auto"/>
                  <w:noWrap w:val="0"/>
                  <w:vAlign w:val="center"/>
                </w:tcPr>
                <w:p w14:paraId="100524AD">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bCs/>
                      <w:color w:val="auto"/>
                      <w:sz w:val="21"/>
                      <w:szCs w:val="21"/>
                      <w:highlight w:val="none"/>
                      <w:lang w:val="en-US" w:eastAsia="zh-CN"/>
                    </w:rPr>
                    <w:t>1248.72</w:t>
                  </w:r>
                </w:p>
              </w:tc>
              <w:tc>
                <w:tcPr>
                  <w:tcW w:w="493" w:type="pct"/>
                  <w:tcBorders>
                    <w:tl2br w:val="nil"/>
                    <w:tr2bl w:val="nil"/>
                  </w:tcBorders>
                  <w:shd w:val="clear" w:color="auto" w:fill="auto"/>
                  <w:noWrap w:val="0"/>
                  <w:vAlign w:val="center"/>
                </w:tcPr>
                <w:p w14:paraId="07BD8FC4">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84</w:t>
                  </w:r>
                  <w:r>
                    <w:rPr>
                      <w:rFonts w:hint="eastAsia" w:cs="Times New Roman"/>
                      <w:color w:val="auto"/>
                      <w:kern w:val="2"/>
                      <w:sz w:val="21"/>
                      <w:szCs w:val="21"/>
                      <w:highlight w:val="none"/>
                      <w:lang w:val="en-US" w:eastAsia="zh-CN" w:bidi="ar-SA"/>
                    </w:rPr>
                    <w:t>.27</w:t>
                  </w:r>
                </w:p>
              </w:tc>
              <w:tc>
                <w:tcPr>
                  <w:tcW w:w="609" w:type="pct"/>
                  <w:tcBorders>
                    <w:tl2br w:val="nil"/>
                    <w:tr2bl w:val="nil"/>
                  </w:tcBorders>
                  <w:shd w:val="clear" w:color="auto" w:fill="auto"/>
                  <w:noWrap w:val="0"/>
                  <w:vAlign w:val="center"/>
                </w:tcPr>
                <w:p w14:paraId="7A8C47DC">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0.108</w:t>
                  </w:r>
                </w:p>
              </w:tc>
            </w:tr>
            <w:tr w14:paraId="3034F604">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108" w:type="dxa"/>
                  <w:bottom w:w="0" w:type="dxa"/>
                  <w:right w:w="108" w:type="dxa"/>
                </w:tblCellMar>
              </w:tblPrEx>
              <w:trPr>
                <w:trHeight w:val="915" w:hRule="atLeast"/>
                <w:jc w:val="center"/>
              </w:trPr>
              <w:tc>
                <w:tcPr>
                  <w:tcW w:w="307" w:type="pct"/>
                  <w:vMerge w:val="continue"/>
                  <w:tcBorders>
                    <w:right w:val="single" w:color="auto" w:sz="4" w:space="0"/>
                    <w:tl2br w:val="nil"/>
                    <w:tr2bl w:val="nil"/>
                  </w:tcBorders>
                  <w:noWrap w:val="0"/>
                  <w:vAlign w:val="center"/>
                </w:tcPr>
                <w:p w14:paraId="46281CEA">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26" w:type="pct"/>
                  <w:vMerge w:val="continue"/>
                  <w:tcBorders>
                    <w:left w:val="single" w:color="auto" w:sz="4" w:space="0"/>
                    <w:tl2br w:val="nil"/>
                    <w:tr2bl w:val="nil"/>
                  </w:tcBorders>
                  <w:noWrap w:val="0"/>
                  <w:vAlign w:val="center"/>
                </w:tcPr>
                <w:p w14:paraId="75B50F93">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383" w:type="pct"/>
                  <w:tcBorders>
                    <w:top w:val="single" w:color="auto" w:sz="4" w:space="0"/>
                    <w:tl2br w:val="nil"/>
                    <w:tr2bl w:val="nil"/>
                  </w:tcBorders>
                  <w:noWrap w:val="0"/>
                  <w:vAlign w:val="center"/>
                </w:tcPr>
                <w:p w14:paraId="68DD32D4">
                  <w:pPr>
                    <w:pStyle w:val="112"/>
                    <w:keepNext/>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pH</w:t>
                  </w:r>
                </w:p>
              </w:tc>
              <w:tc>
                <w:tcPr>
                  <w:tcW w:w="961" w:type="pct"/>
                  <w:gridSpan w:val="2"/>
                  <w:tcBorders>
                    <w:top w:val="single" w:color="auto" w:sz="4" w:space="0"/>
                    <w:tl2br w:val="nil"/>
                    <w:tr2bl w:val="nil"/>
                  </w:tcBorders>
                  <w:shd w:val="clear" w:color="auto" w:fill="auto"/>
                  <w:noWrap w:val="0"/>
                  <w:vAlign w:val="center"/>
                </w:tcPr>
                <w:p w14:paraId="606F011C">
                  <w:pPr>
                    <w:pStyle w:val="112"/>
                    <w:keepNext/>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7.3-7.9</w:t>
                  </w:r>
                  <w:r>
                    <w:rPr>
                      <w:rFonts w:hint="default" w:ascii="Times New Roman" w:hAnsi="Times New Roman" w:eastAsia="宋体" w:cs="Times New Roman"/>
                      <w:color w:val="auto"/>
                      <w:sz w:val="21"/>
                      <w:szCs w:val="21"/>
                      <w:highlight w:val="none"/>
                      <w:lang w:val="en-US" w:eastAsia="zh-CN"/>
                    </w:rPr>
                    <w:t>（无量纲）</w:t>
                  </w:r>
                </w:p>
              </w:tc>
              <w:tc>
                <w:tcPr>
                  <w:tcW w:w="285" w:type="pct"/>
                  <w:vMerge w:val="continue"/>
                  <w:tcBorders>
                    <w:right w:val="single" w:color="auto" w:sz="4" w:space="0"/>
                    <w:tl2br w:val="nil"/>
                    <w:tr2bl w:val="nil"/>
                  </w:tcBorders>
                  <w:noWrap w:val="0"/>
                  <w:vAlign w:val="center"/>
                </w:tcPr>
                <w:p w14:paraId="34F45CB9">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437" w:type="pct"/>
                  <w:vMerge w:val="continue"/>
                  <w:tcBorders>
                    <w:left w:val="single" w:color="auto" w:sz="4" w:space="0"/>
                    <w:tl2br w:val="nil"/>
                    <w:tr2bl w:val="nil"/>
                  </w:tcBorders>
                  <w:noWrap w:val="0"/>
                  <w:vAlign w:val="center"/>
                </w:tcPr>
                <w:p w14:paraId="43AFCD5E">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276" w:type="pct"/>
                  <w:tcBorders>
                    <w:top w:val="single" w:color="auto" w:sz="4" w:space="0"/>
                    <w:tl2br w:val="nil"/>
                    <w:tr2bl w:val="nil"/>
                  </w:tcBorders>
                  <w:noWrap w:val="0"/>
                  <w:vAlign w:val="center"/>
                </w:tcPr>
                <w:p w14:paraId="6F656D44">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9" w:type="pct"/>
                  <w:vMerge w:val="continue"/>
                  <w:tcBorders>
                    <w:tl2br w:val="nil"/>
                    <w:tr2bl w:val="nil"/>
                  </w:tcBorders>
                  <w:noWrap w:val="0"/>
                  <w:vAlign w:val="center"/>
                </w:tcPr>
                <w:p w14:paraId="55A200F1">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418" w:type="pct"/>
                  <w:vMerge w:val="continue"/>
                  <w:tcBorders>
                    <w:tl2br w:val="nil"/>
                    <w:tr2bl w:val="nil"/>
                  </w:tcBorders>
                  <w:noWrap w:val="0"/>
                  <w:vAlign w:val="center"/>
                </w:tcPr>
                <w:p w14:paraId="30BF7F73">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p>
              </w:tc>
              <w:tc>
                <w:tcPr>
                  <w:tcW w:w="1102" w:type="pct"/>
                  <w:gridSpan w:val="2"/>
                  <w:tcBorders>
                    <w:tl2br w:val="nil"/>
                    <w:tr2bl w:val="nil"/>
                  </w:tcBorders>
                  <w:shd w:val="clear" w:color="auto" w:fill="auto"/>
                  <w:noWrap w:val="0"/>
                  <w:vAlign w:val="center"/>
                </w:tcPr>
                <w:p w14:paraId="67E7F599">
                  <w:pPr>
                    <w:pStyle w:val="112"/>
                    <w:keepNext/>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7.3~7.9（无量纲）</w:t>
                  </w:r>
                </w:p>
              </w:tc>
            </w:tr>
            <w:tr w14:paraId="4B9B7086">
              <w:tblPrEx>
                <w:tblBorders>
                  <w:top w:val="single" w:color="000000" w:sz="12" w:space="0"/>
                  <w:left w:val="none" w:color="auto" w:sz="0" w:space="0"/>
                  <w:bottom w:val="single" w:color="000000" w:sz="12" w:space="0"/>
                  <w:right w:val="none" w:color="auto" w:sz="0" w:space="0"/>
                  <w:insideH w:val="single" w:color="000000" w:sz="4" w:space="0"/>
                  <w:insideV w:val="single" w:color="000000" w:sz="6" w:space="0"/>
                </w:tblBorders>
                <w:tblCellMar>
                  <w:top w:w="0" w:type="dxa"/>
                  <w:left w:w="108" w:type="dxa"/>
                  <w:bottom w:w="0" w:type="dxa"/>
                  <w:right w:w="108" w:type="dxa"/>
                </w:tblCellMar>
              </w:tblPrEx>
              <w:trPr>
                <w:trHeight w:val="714" w:hRule="atLeast"/>
                <w:jc w:val="center"/>
              </w:trPr>
              <w:tc>
                <w:tcPr>
                  <w:tcW w:w="307" w:type="pct"/>
                  <w:vMerge w:val="continue"/>
                  <w:tcBorders>
                    <w:right w:val="single" w:color="auto" w:sz="4" w:space="0"/>
                  </w:tcBorders>
                </w:tcPr>
                <w:p w14:paraId="1B65F191">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426" w:type="pct"/>
                  <w:vMerge w:val="continue"/>
                  <w:tcBorders>
                    <w:left w:val="single" w:color="auto" w:sz="4" w:space="0"/>
                  </w:tcBorders>
                </w:tcPr>
                <w:p w14:paraId="69789D9D">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p>
              </w:tc>
              <w:tc>
                <w:tcPr>
                  <w:tcW w:w="383" w:type="pct"/>
                  <w:vAlign w:val="center"/>
                </w:tcPr>
                <w:p w14:paraId="0CA33963">
                  <w:pPr>
                    <w:pStyle w:val="112"/>
                    <w:keepNext/>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溶解性总固体</w:t>
                  </w:r>
                </w:p>
              </w:tc>
              <w:tc>
                <w:tcPr>
                  <w:tcW w:w="526" w:type="pct"/>
                  <w:vAlign w:val="center"/>
                </w:tcPr>
                <w:p w14:paraId="33922298">
                  <w:pPr>
                    <w:pStyle w:val="112"/>
                    <w:keepNext/>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312</w:t>
                  </w:r>
                </w:p>
              </w:tc>
              <w:tc>
                <w:tcPr>
                  <w:tcW w:w="434" w:type="pct"/>
                  <w:vAlign w:val="center"/>
                </w:tcPr>
                <w:p w14:paraId="02B7E102">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r>
                    <w:rPr>
                      <w:rFonts w:hint="eastAsia" w:cs="Times New Roman"/>
                      <w:color w:val="auto"/>
                      <w:kern w:val="2"/>
                      <w:sz w:val="21"/>
                      <w:szCs w:val="21"/>
                      <w:highlight w:val="none"/>
                      <w:lang w:val="en-US" w:eastAsia="zh-CN" w:bidi="ar-SA"/>
                    </w:rPr>
                    <w:t>.39</w:t>
                  </w:r>
                </w:p>
              </w:tc>
              <w:tc>
                <w:tcPr>
                  <w:tcW w:w="285" w:type="pct"/>
                  <w:vMerge w:val="continue"/>
                  <w:tcBorders>
                    <w:right w:val="single" w:color="auto" w:sz="4" w:space="0"/>
                  </w:tcBorders>
                  <w:vAlign w:val="center"/>
                </w:tcPr>
                <w:p w14:paraId="5686A296">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437" w:type="pct"/>
                  <w:vMerge w:val="continue"/>
                  <w:tcBorders>
                    <w:left w:val="single" w:color="auto" w:sz="4" w:space="0"/>
                  </w:tcBorders>
                  <w:vAlign w:val="center"/>
                </w:tcPr>
                <w:p w14:paraId="299CF941">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276" w:type="pct"/>
                  <w:vAlign w:val="center"/>
                </w:tcPr>
                <w:p w14:paraId="16E2EA8E">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9" w:type="pct"/>
                  <w:vMerge w:val="continue"/>
                  <w:vAlign w:val="center"/>
                </w:tcPr>
                <w:p w14:paraId="15947FCB">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418" w:type="pct"/>
                  <w:vMerge w:val="continue"/>
                  <w:vAlign w:val="center"/>
                </w:tcPr>
                <w:p w14:paraId="3520899D">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p>
              </w:tc>
              <w:tc>
                <w:tcPr>
                  <w:tcW w:w="493" w:type="pct"/>
                  <w:shd w:val="clear" w:color="auto" w:fill="auto"/>
                  <w:vAlign w:val="center"/>
                </w:tcPr>
                <w:p w14:paraId="5F894E58">
                  <w:pPr>
                    <w:pStyle w:val="112"/>
                    <w:keepNext/>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312</w:t>
                  </w:r>
                </w:p>
              </w:tc>
              <w:tc>
                <w:tcPr>
                  <w:tcW w:w="609" w:type="pct"/>
                  <w:shd w:val="clear" w:color="auto" w:fill="auto"/>
                  <w:vAlign w:val="center"/>
                </w:tcPr>
                <w:p w14:paraId="40208E3B">
                  <w:pPr>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r>
                    <w:rPr>
                      <w:rFonts w:hint="eastAsia" w:cs="Times New Roman"/>
                      <w:color w:val="auto"/>
                      <w:kern w:val="2"/>
                      <w:sz w:val="21"/>
                      <w:szCs w:val="21"/>
                      <w:highlight w:val="none"/>
                      <w:lang w:val="en-US" w:eastAsia="zh-CN" w:bidi="ar-SA"/>
                    </w:rPr>
                    <w:t>39</w:t>
                  </w:r>
                </w:p>
              </w:tc>
            </w:tr>
          </w:tbl>
          <w:p w14:paraId="21A46AB5">
            <w:pPr>
              <w:pStyle w:val="114"/>
              <w:keepNext w:val="0"/>
              <w:keepLines w:val="0"/>
              <w:pageBreakBefore w:val="0"/>
              <w:widowControl w:val="0"/>
              <w:kinsoku/>
              <w:wordWrap/>
              <w:overflowPunct/>
              <w:topLinePunct w:val="0"/>
              <w:autoSpaceDE/>
              <w:autoSpaceDN/>
              <w:bidi w:val="0"/>
              <w:spacing w:line="360" w:lineRule="auto"/>
              <w:ind w:firstLine="480"/>
              <w:textAlignment w:val="auto"/>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eastAsia="zh-CN"/>
              </w:rPr>
              <w:t>（</w:t>
            </w:r>
            <w:r>
              <w:rPr>
                <w:rFonts w:hint="default" w:ascii="Times New Roman" w:hAnsi="Times New Roman" w:eastAsia="宋体" w:cs="Times New Roman"/>
                <w:color w:val="auto"/>
                <w:sz w:val="21"/>
                <w:szCs w:val="24"/>
                <w:highlight w:val="none"/>
                <w:lang w:val="en-US" w:eastAsia="zh-CN"/>
              </w:rPr>
              <w:t>2</w:t>
            </w:r>
            <w:r>
              <w:rPr>
                <w:rFonts w:hint="default" w:ascii="Times New Roman" w:hAnsi="Times New Roman" w:eastAsia="宋体" w:cs="Times New Roman"/>
                <w:color w:val="auto"/>
                <w:sz w:val="21"/>
                <w:szCs w:val="24"/>
                <w:highlight w:val="none"/>
                <w:lang w:eastAsia="zh-CN"/>
              </w:rPr>
              <w:t>）</w:t>
            </w:r>
            <w:r>
              <w:rPr>
                <w:rFonts w:hint="default" w:ascii="Times New Roman" w:hAnsi="Times New Roman" w:eastAsia="宋体" w:cs="Times New Roman"/>
                <w:color w:val="auto"/>
                <w:sz w:val="21"/>
                <w:szCs w:val="24"/>
                <w:highlight w:val="none"/>
                <w:lang w:val="en-US" w:eastAsia="zh-CN"/>
              </w:rPr>
              <w:t>依托可行性</w:t>
            </w:r>
          </w:p>
          <w:p w14:paraId="4C39FA94">
            <w:pPr>
              <w:pStyle w:val="114"/>
              <w:keepNext w:val="0"/>
              <w:keepLines w:val="0"/>
              <w:pageBreakBefore w:val="0"/>
              <w:widowControl w:val="0"/>
              <w:kinsoku/>
              <w:wordWrap/>
              <w:overflowPunct/>
              <w:topLinePunct w:val="0"/>
              <w:autoSpaceDE/>
              <w:autoSpaceDN/>
              <w:bidi w:val="0"/>
              <w:spacing w:line="360" w:lineRule="auto"/>
              <w:ind w:firstLine="480"/>
              <w:textAlignment w:val="auto"/>
              <w:rPr>
                <w:rFonts w:hint="eastAsia" w:ascii="Times New Roman" w:hAnsi="Times New Roman" w:eastAsia="宋体" w:cs="宋体"/>
                <w:color w:val="auto"/>
                <w:kern w:val="2"/>
                <w:sz w:val="21"/>
                <w:szCs w:val="21"/>
                <w:highlight w:val="none"/>
                <w:lang w:val="en-US" w:eastAsia="zh-CN" w:bidi="ar"/>
              </w:rPr>
            </w:pPr>
            <w:r>
              <w:rPr>
                <w:rFonts w:hint="eastAsia" w:ascii="Times New Roman" w:hAnsi="Times New Roman" w:cs="宋体"/>
                <w:color w:val="auto"/>
                <w:kern w:val="2"/>
                <w:sz w:val="21"/>
                <w:szCs w:val="21"/>
                <w:highlight w:val="none"/>
                <w:lang w:val="en-US" w:eastAsia="zh-CN" w:bidi="ar"/>
              </w:rPr>
              <w:t>铁力市污水处理厂</w:t>
            </w:r>
            <w:r>
              <w:rPr>
                <w:rFonts w:hint="eastAsia" w:ascii="Times New Roman" w:hAnsi="Times New Roman" w:eastAsia="宋体" w:cs="宋体"/>
                <w:color w:val="auto"/>
                <w:kern w:val="2"/>
                <w:sz w:val="21"/>
                <w:szCs w:val="21"/>
                <w:highlight w:val="none"/>
                <w:lang w:val="en-US" w:eastAsia="zh-CN" w:bidi="ar"/>
              </w:rPr>
              <w:t>（铁力市伊吉污水处理</w:t>
            </w:r>
            <w:r>
              <w:rPr>
                <w:rFonts w:hint="eastAsia" w:ascii="Times New Roman" w:hAnsi="Times New Roman" w:cs="宋体"/>
                <w:color w:val="auto"/>
                <w:kern w:val="2"/>
                <w:sz w:val="21"/>
                <w:szCs w:val="21"/>
                <w:highlight w:val="none"/>
                <w:lang w:val="en-US" w:eastAsia="zh-CN" w:bidi="ar"/>
              </w:rPr>
              <w:t>有限公司</w:t>
            </w:r>
            <w:r>
              <w:rPr>
                <w:rFonts w:hint="eastAsia" w:ascii="Times New Roman" w:hAnsi="Times New Roman" w:eastAsia="宋体" w:cs="宋体"/>
                <w:color w:val="auto"/>
                <w:kern w:val="2"/>
                <w:sz w:val="21"/>
                <w:szCs w:val="21"/>
                <w:highlight w:val="none"/>
                <w:lang w:val="en-US" w:eastAsia="zh-CN" w:bidi="ar"/>
              </w:rPr>
              <w:t>）位于黑龙江省伊春市铁力市工农乡新兴村，工程建设规模为日处理4万吨，现实际日处理3</w:t>
            </w:r>
            <w:r>
              <w:rPr>
                <w:rFonts w:hint="eastAsia" w:ascii="Times New Roman" w:hAnsi="Times New Roman" w:cs="宋体"/>
                <w:color w:val="auto"/>
                <w:kern w:val="2"/>
                <w:sz w:val="21"/>
                <w:szCs w:val="21"/>
                <w:highlight w:val="none"/>
                <w:lang w:val="en-US" w:eastAsia="zh-CN" w:bidi="ar"/>
              </w:rPr>
              <w:t>.9799</w:t>
            </w:r>
            <w:r>
              <w:rPr>
                <w:rFonts w:hint="eastAsia" w:ascii="Times New Roman" w:hAnsi="Times New Roman" w:eastAsia="宋体" w:cs="宋体"/>
                <w:color w:val="auto"/>
                <w:kern w:val="2"/>
                <w:sz w:val="21"/>
                <w:szCs w:val="21"/>
                <w:highlight w:val="none"/>
                <w:lang w:val="en-US" w:eastAsia="zh-CN" w:bidi="ar"/>
              </w:rPr>
              <w:t>吨。处理工艺为“EBIS+深度处理”，经处理后的污水水质排放标准为《城镇污水处理厂污染物排放标准》（GB18918-2002）一级A标准。</w:t>
            </w:r>
            <w:r>
              <w:rPr>
                <w:rFonts w:hint="eastAsia" w:ascii="Times New Roman" w:hAnsi="Times New Roman" w:eastAsia="宋体" w:cs="宋体"/>
                <w:color w:val="auto"/>
                <w:kern w:val="0"/>
                <w:sz w:val="21"/>
                <w:szCs w:val="21"/>
                <w:highlight w:val="none"/>
                <w:lang w:bidi="ar"/>
              </w:rPr>
              <w:t>本项目污水日排放量为</w:t>
            </w:r>
            <w:r>
              <w:rPr>
                <w:rFonts w:hint="eastAsia" w:ascii="Times New Roman" w:hAnsi="Times New Roman" w:cs="宋体"/>
                <w:color w:val="auto"/>
                <w:kern w:val="0"/>
                <w:sz w:val="21"/>
                <w:szCs w:val="21"/>
                <w:highlight w:val="none"/>
                <w:lang w:val="en-US" w:eastAsia="zh-CN" w:bidi="ar"/>
              </w:rPr>
              <w:t>6.9</w:t>
            </w:r>
            <w:r>
              <w:rPr>
                <w:rFonts w:hint="eastAsia" w:ascii="Times New Roman" w:hAnsi="Times New Roman" w:eastAsia="宋体" w:cs="宋体"/>
                <w:color w:val="auto"/>
                <w:kern w:val="0"/>
                <w:sz w:val="21"/>
                <w:szCs w:val="21"/>
                <w:highlight w:val="none"/>
                <w:lang w:val="en-US" w:eastAsia="zh-CN" w:bidi="ar"/>
              </w:rPr>
              <w:t>4</w:t>
            </w:r>
            <w:r>
              <w:rPr>
                <w:rFonts w:hint="eastAsia" w:ascii="Times New Roman" w:hAnsi="Times New Roman" w:eastAsia="宋体" w:cs="宋体"/>
                <w:color w:val="auto"/>
                <w:kern w:val="0"/>
                <w:sz w:val="21"/>
                <w:szCs w:val="21"/>
                <w:highlight w:val="none"/>
                <w:lang w:bidi="ar"/>
              </w:rPr>
              <w:t>t</w:t>
            </w:r>
            <w:r>
              <w:rPr>
                <w:rFonts w:hint="eastAsia" w:ascii="Times New Roman" w:hAnsi="Times New Roman" w:cs="宋体"/>
                <w:color w:val="auto"/>
                <w:kern w:val="0"/>
                <w:sz w:val="21"/>
                <w:szCs w:val="21"/>
                <w:highlight w:val="none"/>
                <w:lang w:val="en-US" w:eastAsia="zh-CN" w:bidi="ar"/>
              </w:rPr>
              <w:t>/d</w:t>
            </w:r>
            <w:r>
              <w:rPr>
                <w:rFonts w:hint="eastAsia" w:ascii="Times New Roman" w:hAnsi="Times New Roman" w:eastAsia="宋体" w:cs="宋体"/>
                <w:color w:val="auto"/>
                <w:kern w:val="0"/>
                <w:sz w:val="21"/>
                <w:szCs w:val="21"/>
                <w:highlight w:val="none"/>
                <w:lang w:bidi="ar"/>
              </w:rPr>
              <w:t>，故本项目排放的废水不会对</w:t>
            </w:r>
            <w:r>
              <w:rPr>
                <w:rFonts w:hint="eastAsia" w:ascii="Times New Roman" w:hAnsi="Times New Roman" w:eastAsia="宋体" w:cs="宋体"/>
                <w:color w:val="auto"/>
                <w:kern w:val="0"/>
                <w:sz w:val="21"/>
                <w:szCs w:val="21"/>
                <w:highlight w:val="none"/>
                <w:lang w:val="en-US" w:eastAsia="zh-CN" w:bidi="ar"/>
              </w:rPr>
              <w:t>铁力市污水处理厂</w:t>
            </w:r>
            <w:r>
              <w:rPr>
                <w:rFonts w:hint="eastAsia" w:ascii="Times New Roman" w:hAnsi="Times New Roman" w:eastAsia="宋体" w:cs="宋体"/>
                <w:color w:val="auto"/>
                <w:kern w:val="0"/>
                <w:sz w:val="21"/>
                <w:szCs w:val="21"/>
                <w:highlight w:val="none"/>
                <w:lang w:bidi="ar"/>
              </w:rPr>
              <w:t>产生较大影响，</w:t>
            </w:r>
            <w:r>
              <w:rPr>
                <w:rFonts w:hint="eastAsia" w:ascii="Times New Roman" w:hAnsi="Times New Roman" w:eastAsia="宋体" w:cs="宋体"/>
                <w:color w:val="auto"/>
                <w:kern w:val="0"/>
                <w:sz w:val="21"/>
                <w:szCs w:val="21"/>
                <w:highlight w:val="none"/>
                <w:lang w:val="en-US" w:eastAsia="zh-CN" w:bidi="ar"/>
              </w:rPr>
              <w:t>铁力</w:t>
            </w:r>
            <w:r>
              <w:rPr>
                <w:rFonts w:hint="eastAsia" w:ascii="Times New Roman" w:hAnsi="Times New Roman" w:cs="宋体"/>
                <w:color w:val="auto"/>
                <w:kern w:val="0"/>
                <w:sz w:val="21"/>
                <w:szCs w:val="21"/>
                <w:highlight w:val="none"/>
                <w:lang w:val="en-US" w:eastAsia="zh-CN" w:bidi="ar"/>
              </w:rPr>
              <w:t>市</w:t>
            </w:r>
            <w:r>
              <w:rPr>
                <w:rFonts w:hint="eastAsia" w:ascii="Times New Roman" w:hAnsi="Times New Roman" w:eastAsia="宋体" w:cs="宋体"/>
                <w:color w:val="auto"/>
                <w:kern w:val="0"/>
                <w:sz w:val="21"/>
                <w:szCs w:val="21"/>
                <w:highlight w:val="none"/>
                <w:lang w:val="en-US" w:eastAsia="zh-CN" w:bidi="ar"/>
              </w:rPr>
              <w:t>污水处理厂进水指标为</w:t>
            </w:r>
            <w:r>
              <w:rPr>
                <w:rFonts w:hint="default" w:ascii="Times New Roman" w:hAnsi="Times New Roman" w:cs="Times New Roman"/>
                <w:color w:val="auto"/>
                <w:sz w:val="21"/>
                <w:szCs w:val="21"/>
              </w:rPr>
              <w:t>COD：</w:t>
            </w:r>
            <w:r>
              <w:rPr>
                <w:rFonts w:hint="eastAsia" w:ascii="Times New Roman" w:hAnsi="Times New Roman" w:cs="Times New Roman"/>
                <w:color w:val="auto"/>
                <w:sz w:val="21"/>
                <w:szCs w:val="21"/>
                <w:lang w:val="en-US" w:eastAsia="zh-CN"/>
              </w:rPr>
              <w:t>300</w:t>
            </w:r>
            <w:r>
              <w:rPr>
                <w:rFonts w:hint="default" w:ascii="Times New Roman" w:hAnsi="Times New Roman" w:cs="Times New Roman"/>
                <w:color w:val="auto"/>
                <w:sz w:val="21"/>
                <w:szCs w:val="21"/>
              </w:rPr>
              <w:t>mg/L、BOD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180</w:t>
            </w:r>
            <w:r>
              <w:rPr>
                <w:rFonts w:hint="default" w:ascii="Times New Roman" w:hAnsi="Times New Roman" w:cs="Times New Roman"/>
                <w:color w:val="auto"/>
                <w:sz w:val="21"/>
                <w:szCs w:val="21"/>
              </w:rPr>
              <w:t>mg/L、SS：</w:t>
            </w:r>
            <w:r>
              <w:rPr>
                <w:rFonts w:hint="eastAsia" w:ascii="Times New Roman" w:hAnsi="Times New Roman" w:cs="Times New Roman"/>
                <w:color w:val="auto"/>
                <w:sz w:val="21"/>
                <w:szCs w:val="21"/>
                <w:lang w:val="en-US" w:eastAsia="zh-CN"/>
              </w:rPr>
              <w:t>24</w:t>
            </w:r>
            <w:r>
              <w:rPr>
                <w:rFonts w:hint="default" w:ascii="Times New Roman" w:hAnsi="Times New Roman" w:cs="Times New Roman"/>
                <w:color w:val="auto"/>
                <w:sz w:val="21"/>
                <w:szCs w:val="21"/>
              </w:rPr>
              <w:t>0mg/L、NH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rPr>
              <w:t>5mg/L、</w:t>
            </w:r>
            <w:r>
              <w:rPr>
                <w:rFonts w:hint="eastAsia" w:ascii="Times New Roman" w:hAnsi="Times New Roman" w:cs="Times New Roman"/>
                <w:color w:val="auto"/>
                <w:sz w:val="21"/>
                <w:szCs w:val="21"/>
                <w:lang w:val="en-US" w:eastAsia="zh-CN"/>
              </w:rPr>
              <w:t>TP：4</w:t>
            </w:r>
            <w:r>
              <w:rPr>
                <w:rFonts w:hint="default" w:ascii="Times New Roman" w:hAnsi="Times New Roman" w:cs="Times New Roman"/>
                <w:color w:val="auto"/>
                <w:sz w:val="21"/>
                <w:szCs w:val="21"/>
              </w:rPr>
              <w:t>mg/L</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TN：60</w:t>
            </w:r>
            <w:r>
              <w:rPr>
                <w:rFonts w:hint="default" w:ascii="Times New Roman" w:hAnsi="Times New Roman" w:cs="Times New Roman"/>
                <w:color w:val="auto"/>
                <w:sz w:val="21"/>
                <w:szCs w:val="21"/>
              </w:rPr>
              <w:t>mg/L</w:t>
            </w:r>
            <w:r>
              <w:rPr>
                <w:rFonts w:hint="eastAsia" w:ascii="Times New Roman" w:hAnsi="Times New Roman" w:cs="Times New Roman"/>
                <w:color w:val="auto"/>
                <w:sz w:val="21"/>
                <w:szCs w:val="21"/>
                <w:lang w:eastAsia="zh-CN"/>
              </w:rPr>
              <w:t>，</w:t>
            </w:r>
            <w:r>
              <w:rPr>
                <w:rFonts w:hint="eastAsia" w:ascii="Times New Roman" w:hAnsi="Times New Roman" w:eastAsia="宋体" w:cs="宋体"/>
                <w:color w:val="auto"/>
                <w:kern w:val="0"/>
                <w:sz w:val="21"/>
                <w:szCs w:val="21"/>
                <w:highlight w:val="none"/>
                <w:lang w:val="en-US" w:eastAsia="zh-CN" w:bidi="ar"/>
              </w:rPr>
              <w:t>因此，</w:t>
            </w:r>
            <w:r>
              <w:rPr>
                <w:rFonts w:hint="eastAsia" w:ascii="Times New Roman" w:hAnsi="Times New Roman" w:cs="宋体"/>
                <w:color w:val="auto"/>
                <w:kern w:val="2"/>
                <w:sz w:val="21"/>
                <w:szCs w:val="21"/>
                <w:highlight w:val="none"/>
                <w:lang w:val="en-US" w:eastAsia="zh-CN" w:bidi="ar"/>
              </w:rPr>
              <w:t>铁力市污水处理厂</w:t>
            </w:r>
            <w:r>
              <w:rPr>
                <w:rFonts w:hint="eastAsia" w:ascii="Times New Roman" w:hAnsi="Times New Roman" w:eastAsia="宋体" w:cs="宋体"/>
                <w:color w:val="auto"/>
                <w:kern w:val="2"/>
                <w:sz w:val="21"/>
                <w:szCs w:val="21"/>
                <w:highlight w:val="none"/>
                <w:lang w:val="en-US" w:eastAsia="zh-CN" w:bidi="ar"/>
              </w:rPr>
              <w:t>能够满足本项目排水要求。</w:t>
            </w:r>
          </w:p>
          <w:p w14:paraId="3745934A">
            <w:pPr>
              <w:snapToGrid w:val="0"/>
              <w:spacing w:line="360" w:lineRule="auto"/>
              <w:ind w:firstLine="420" w:firstLineChars="200"/>
              <w:rPr>
                <w:rFonts w:hint="default" w:ascii="Times New Roman" w:hAnsi="Times New Roman" w:cs="Times New Roman"/>
                <w:bCs/>
                <w:color w:val="auto"/>
                <w:szCs w:val="21"/>
              </w:rPr>
            </w:pPr>
            <w:r>
              <w:rPr>
                <w:rFonts w:hint="default" w:ascii="Times New Roman" w:hAnsi="Times New Roman" w:cs="Times New Roman"/>
                <w:bCs/>
                <w:color w:val="auto"/>
                <w:szCs w:val="21"/>
              </w:rPr>
              <w:t>本项目废水污染物排放信息表见下表。</w:t>
            </w:r>
          </w:p>
          <w:p w14:paraId="60575B51">
            <w:pPr>
              <w:pStyle w:val="328"/>
              <w:spacing w:line="240" w:lineRule="auto"/>
              <w:contextualSpacing/>
              <w:rPr>
                <w:rFonts w:hint="default" w:ascii="Times New Roman" w:hAnsi="Times New Roman" w:cs="Times New Roman" w:eastAsiaTheme="minorEastAsia"/>
                <w:b/>
                <w:color w:val="auto"/>
                <w:sz w:val="21"/>
                <w:szCs w:val="21"/>
              </w:rPr>
            </w:pPr>
            <w:r>
              <w:rPr>
                <w:rFonts w:hint="default" w:ascii="Times New Roman" w:hAnsi="Times New Roman" w:cs="Times New Roman" w:eastAsiaTheme="minorEastAsia"/>
                <w:b/>
                <w:color w:val="auto"/>
                <w:sz w:val="21"/>
                <w:szCs w:val="21"/>
              </w:rPr>
              <w:t>表4-6废水排放口基本情况表</w:t>
            </w:r>
          </w:p>
          <w:tbl>
            <w:tblPr>
              <w:tblStyle w:val="43"/>
              <w:tblW w:w="823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1502"/>
              <w:gridCol w:w="3180"/>
              <w:gridCol w:w="1342"/>
              <w:gridCol w:w="818"/>
            </w:tblGrid>
            <w:tr w14:paraId="0FC74F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395" w:type="dxa"/>
                  <w:vMerge w:val="restart"/>
                  <w:vAlign w:val="center"/>
                </w:tcPr>
                <w:p w14:paraId="39630F74">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排放口编号及名称</w:t>
                  </w:r>
                </w:p>
              </w:tc>
              <w:tc>
                <w:tcPr>
                  <w:tcW w:w="1502" w:type="dxa"/>
                  <w:vMerge w:val="restart"/>
                  <w:vAlign w:val="center"/>
                </w:tcPr>
                <w:p w14:paraId="795640F5">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排放方向</w:t>
                  </w:r>
                </w:p>
              </w:tc>
              <w:tc>
                <w:tcPr>
                  <w:tcW w:w="3180" w:type="dxa"/>
                  <w:vMerge w:val="restart"/>
                  <w:vAlign w:val="center"/>
                </w:tcPr>
                <w:p w14:paraId="63607175">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排放规律</w:t>
                  </w:r>
                </w:p>
              </w:tc>
              <w:tc>
                <w:tcPr>
                  <w:tcW w:w="2160" w:type="dxa"/>
                  <w:gridSpan w:val="2"/>
                  <w:vAlign w:val="center"/>
                </w:tcPr>
                <w:p w14:paraId="32283ECF">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排放口情况</w:t>
                  </w:r>
                </w:p>
              </w:tc>
            </w:tr>
            <w:tr w14:paraId="73B665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1395" w:type="dxa"/>
                  <w:vMerge w:val="continue"/>
                  <w:vAlign w:val="center"/>
                </w:tcPr>
                <w:p w14:paraId="25403A8F">
                  <w:pPr>
                    <w:contextualSpacing/>
                    <w:jc w:val="center"/>
                    <w:rPr>
                      <w:rFonts w:hint="default" w:ascii="Times New Roman" w:hAnsi="Times New Roman" w:cs="Times New Roman"/>
                      <w:color w:val="auto"/>
                      <w:szCs w:val="21"/>
                    </w:rPr>
                  </w:pPr>
                </w:p>
              </w:tc>
              <w:tc>
                <w:tcPr>
                  <w:tcW w:w="1502" w:type="dxa"/>
                  <w:vMerge w:val="continue"/>
                  <w:vAlign w:val="center"/>
                </w:tcPr>
                <w:p w14:paraId="585FFC3A">
                  <w:pPr>
                    <w:contextualSpacing/>
                    <w:jc w:val="center"/>
                    <w:rPr>
                      <w:rFonts w:hint="default" w:ascii="Times New Roman" w:hAnsi="Times New Roman" w:cs="Times New Roman"/>
                      <w:color w:val="auto"/>
                      <w:szCs w:val="21"/>
                    </w:rPr>
                  </w:pPr>
                </w:p>
              </w:tc>
              <w:tc>
                <w:tcPr>
                  <w:tcW w:w="3180" w:type="dxa"/>
                  <w:vMerge w:val="continue"/>
                  <w:vAlign w:val="center"/>
                </w:tcPr>
                <w:p w14:paraId="042EAA1B">
                  <w:pPr>
                    <w:contextualSpacing/>
                    <w:jc w:val="center"/>
                    <w:rPr>
                      <w:rFonts w:hint="default" w:ascii="Times New Roman" w:hAnsi="Times New Roman" w:cs="Times New Roman"/>
                      <w:color w:val="auto"/>
                      <w:szCs w:val="21"/>
                    </w:rPr>
                  </w:pPr>
                </w:p>
              </w:tc>
              <w:tc>
                <w:tcPr>
                  <w:tcW w:w="1342" w:type="dxa"/>
                  <w:vAlign w:val="center"/>
                </w:tcPr>
                <w:p w14:paraId="5EC7958C">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坐标</w:t>
                  </w:r>
                </w:p>
              </w:tc>
              <w:tc>
                <w:tcPr>
                  <w:tcW w:w="818" w:type="dxa"/>
                  <w:vAlign w:val="center"/>
                </w:tcPr>
                <w:p w14:paraId="5255BA1B">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类型</w:t>
                  </w:r>
                </w:p>
              </w:tc>
            </w:tr>
            <w:tr w14:paraId="53E6F1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395" w:type="dxa"/>
                  <w:vAlign w:val="center"/>
                </w:tcPr>
                <w:p w14:paraId="325293A1">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污水总排口DW001</w:t>
                  </w:r>
                </w:p>
              </w:tc>
              <w:tc>
                <w:tcPr>
                  <w:tcW w:w="1502" w:type="dxa"/>
                  <w:vAlign w:val="center"/>
                </w:tcPr>
                <w:p w14:paraId="558D2CCD">
                  <w:pPr>
                    <w:contextualSpacing/>
                    <w:jc w:val="center"/>
                    <w:rPr>
                      <w:rFonts w:hint="default" w:ascii="Times New Roman" w:hAnsi="Times New Roman" w:cs="Times New Roman"/>
                      <w:color w:val="auto"/>
                      <w:szCs w:val="21"/>
                    </w:rPr>
                  </w:pPr>
                  <w:r>
                    <w:rPr>
                      <w:rFonts w:hint="eastAsia" w:ascii="Times New Roman" w:hAnsi="Times New Roman" w:cs="Times New Roman" w:eastAsiaTheme="minorEastAsia"/>
                      <w:color w:val="auto"/>
                      <w:szCs w:val="21"/>
                      <w:lang w:val="en-US" w:eastAsia="zh-CN"/>
                    </w:rPr>
                    <w:t>铁力市</w:t>
                  </w:r>
                  <w:r>
                    <w:rPr>
                      <w:rFonts w:hint="eastAsia" w:cs="Times New Roman" w:eastAsiaTheme="minorEastAsia"/>
                      <w:color w:val="auto"/>
                      <w:szCs w:val="21"/>
                      <w:lang w:val="en-US" w:eastAsia="zh-CN"/>
                    </w:rPr>
                    <w:t>污水处理厂</w:t>
                  </w:r>
                </w:p>
              </w:tc>
              <w:tc>
                <w:tcPr>
                  <w:tcW w:w="3180" w:type="dxa"/>
                  <w:vAlign w:val="center"/>
                </w:tcPr>
                <w:p w14:paraId="348B2687">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间断排放，排放期间流量不稳定且无规律，但不属于冲击型排放</w:t>
                  </w:r>
                </w:p>
              </w:tc>
              <w:tc>
                <w:tcPr>
                  <w:tcW w:w="1342" w:type="dxa"/>
                  <w:vAlign w:val="center"/>
                </w:tcPr>
                <w:p w14:paraId="7D8DB04B">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E127.986649</w:t>
                  </w:r>
                </w:p>
                <w:p w14:paraId="70F16446">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N46.973983</w:t>
                  </w:r>
                </w:p>
              </w:tc>
              <w:tc>
                <w:tcPr>
                  <w:tcW w:w="818" w:type="dxa"/>
                  <w:vAlign w:val="center"/>
                </w:tcPr>
                <w:p w14:paraId="6481314A">
                  <w:pPr>
                    <w:contextualSpacing/>
                    <w:jc w:val="center"/>
                    <w:rPr>
                      <w:rFonts w:hint="default" w:ascii="Times New Roman" w:hAnsi="Times New Roman" w:cs="Times New Roman"/>
                      <w:color w:val="auto"/>
                      <w:szCs w:val="21"/>
                    </w:rPr>
                  </w:pPr>
                  <w:r>
                    <w:rPr>
                      <w:rFonts w:hint="default" w:ascii="Times New Roman" w:hAnsi="Times New Roman" w:cs="Times New Roman"/>
                      <w:color w:val="auto"/>
                      <w:szCs w:val="21"/>
                    </w:rPr>
                    <w:t>一般排放口</w:t>
                  </w:r>
                </w:p>
              </w:tc>
            </w:tr>
          </w:tbl>
          <w:p w14:paraId="1E77C50C">
            <w:pPr>
              <w:pStyle w:val="114"/>
              <w:keepNext w:val="0"/>
              <w:keepLines w:val="0"/>
              <w:pageBreakBefore w:val="0"/>
              <w:widowControl w:val="0"/>
              <w:kinsoku/>
              <w:wordWrap/>
              <w:overflowPunct/>
              <w:topLinePunct w:val="0"/>
              <w:autoSpaceDE/>
              <w:autoSpaceDN/>
              <w:bidi w:val="0"/>
              <w:spacing w:line="360" w:lineRule="auto"/>
              <w:ind w:firstLine="480"/>
              <w:textAlignment w:val="auto"/>
              <w:rPr>
                <w:rFonts w:hint="default" w:ascii="Times New Roman" w:hAnsi="Times New Roman" w:eastAsia="宋体" w:cs="Times New Roman"/>
                <w:color w:val="auto"/>
                <w:spacing w:val="-5"/>
                <w:sz w:val="21"/>
                <w:szCs w:val="24"/>
                <w:highlight w:val="none"/>
                <w:lang w:val="en-US" w:eastAsia="zh-CN"/>
              </w:rPr>
            </w:pPr>
            <w:r>
              <w:rPr>
                <w:rFonts w:hint="default" w:ascii="Times New Roman" w:hAnsi="Times New Roman" w:eastAsia="宋体" w:cs="Times New Roman"/>
                <w:color w:val="auto"/>
                <w:spacing w:val="-5"/>
                <w:sz w:val="21"/>
                <w:szCs w:val="24"/>
                <w:highlight w:val="none"/>
                <w:lang w:eastAsia="zh-CN"/>
              </w:rPr>
              <w:t>（</w:t>
            </w:r>
            <w:r>
              <w:rPr>
                <w:rFonts w:hint="default" w:ascii="Times New Roman" w:hAnsi="Times New Roman" w:eastAsia="宋体" w:cs="Times New Roman"/>
                <w:color w:val="auto"/>
                <w:spacing w:val="-5"/>
                <w:sz w:val="21"/>
                <w:szCs w:val="24"/>
                <w:highlight w:val="none"/>
                <w:lang w:val="en-US" w:eastAsia="zh-CN"/>
              </w:rPr>
              <w:t>3</w:t>
            </w:r>
            <w:r>
              <w:rPr>
                <w:rFonts w:hint="default" w:ascii="Times New Roman" w:hAnsi="Times New Roman" w:eastAsia="宋体" w:cs="Times New Roman"/>
                <w:color w:val="auto"/>
                <w:spacing w:val="-5"/>
                <w:sz w:val="21"/>
                <w:szCs w:val="24"/>
                <w:highlight w:val="none"/>
                <w:lang w:eastAsia="zh-CN"/>
              </w:rPr>
              <w:t>）</w:t>
            </w:r>
            <w:r>
              <w:rPr>
                <w:rFonts w:hint="default" w:ascii="Times New Roman" w:hAnsi="Times New Roman" w:eastAsia="宋体" w:cs="Times New Roman"/>
                <w:color w:val="auto"/>
                <w:spacing w:val="-5"/>
                <w:sz w:val="21"/>
                <w:szCs w:val="24"/>
                <w:highlight w:val="none"/>
                <w:lang w:val="en-US" w:eastAsia="zh-CN"/>
              </w:rPr>
              <w:t>监测计划</w:t>
            </w:r>
          </w:p>
          <w:p w14:paraId="4AE7005A">
            <w:pPr>
              <w:pStyle w:val="114"/>
              <w:keepNext w:val="0"/>
              <w:keepLines w:val="0"/>
              <w:pageBreakBefore w:val="0"/>
              <w:widowControl w:val="0"/>
              <w:kinsoku/>
              <w:wordWrap/>
              <w:overflowPunct/>
              <w:topLinePunct w:val="0"/>
              <w:autoSpaceDE/>
              <w:autoSpaceDN/>
              <w:bidi w:val="0"/>
              <w:spacing w:line="360" w:lineRule="auto"/>
              <w:ind w:firstLine="480"/>
              <w:textAlignment w:val="auto"/>
              <w:rPr>
                <w:rFonts w:hint="default" w:ascii="Times New Roman" w:hAnsi="Times New Roman" w:eastAsia="宋体" w:cs="Times New Roman"/>
                <w:color w:val="auto"/>
                <w:kern w:val="0"/>
                <w:sz w:val="21"/>
                <w:szCs w:val="24"/>
                <w:highlight w:val="none"/>
              </w:rPr>
            </w:pPr>
            <w:r>
              <w:rPr>
                <w:rFonts w:hint="default" w:ascii="Times New Roman" w:hAnsi="Times New Roman" w:eastAsia="宋体" w:cs="Times New Roman"/>
                <w:color w:val="auto"/>
                <w:spacing w:val="-5"/>
                <w:sz w:val="21"/>
                <w:szCs w:val="24"/>
                <w:highlight w:val="none"/>
              </w:rPr>
              <w:t>根据《</w:t>
            </w:r>
            <w:r>
              <w:rPr>
                <w:rFonts w:hint="default" w:ascii="Times New Roman" w:hAnsi="Times New Roman" w:eastAsia="宋体" w:cs="Times New Roman"/>
                <w:color w:val="auto"/>
                <w:spacing w:val="-5"/>
                <w:sz w:val="21"/>
                <w:szCs w:val="24"/>
                <w:highlight w:val="none"/>
              </w:rPr>
              <w:fldChar w:fldCharType="begin"/>
            </w:r>
            <w:r>
              <w:rPr>
                <w:rFonts w:hint="default" w:ascii="Times New Roman" w:hAnsi="Times New Roman" w:eastAsia="宋体" w:cs="Times New Roman"/>
                <w:color w:val="auto"/>
                <w:spacing w:val="-5"/>
                <w:sz w:val="21"/>
                <w:szCs w:val="24"/>
                <w:highlight w:val="none"/>
              </w:rPr>
              <w:instrText xml:space="preserve"> HYPERLINK "http://kjs.mep.gov.cn/hjbhbz/bzwb/shjbh/xgbzh/201705/W020170511332490849000.pdf" </w:instrText>
            </w:r>
            <w:r>
              <w:rPr>
                <w:rFonts w:hint="default" w:ascii="Times New Roman" w:hAnsi="Times New Roman" w:eastAsia="宋体" w:cs="Times New Roman"/>
                <w:color w:val="auto"/>
                <w:spacing w:val="-5"/>
                <w:sz w:val="21"/>
                <w:szCs w:val="24"/>
                <w:highlight w:val="none"/>
              </w:rPr>
              <w:fldChar w:fldCharType="separate"/>
            </w:r>
            <w:r>
              <w:rPr>
                <w:rFonts w:hint="default" w:ascii="Times New Roman" w:hAnsi="Times New Roman" w:eastAsia="宋体" w:cs="Times New Roman"/>
                <w:color w:val="auto"/>
                <w:spacing w:val="-5"/>
                <w:sz w:val="21"/>
                <w:szCs w:val="24"/>
                <w:highlight w:val="none"/>
              </w:rPr>
              <w:t>排污单位自行监测技术指南火力发电及锅炉》（HJ820-2017）</w:t>
            </w:r>
            <w:r>
              <w:rPr>
                <w:rFonts w:hint="default" w:ascii="Times New Roman" w:hAnsi="Times New Roman" w:eastAsia="宋体" w:cs="Times New Roman"/>
                <w:color w:val="auto"/>
                <w:spacing w:val="-5"/>
                <w:sz w:val="21"/>
                <w:szCs w:val="24"/>
                <w:highlight w:val="none"/>
              </w:rPr>
              <w:fldChar w:fldCharType="end"/>
            </w:r>
            <w:r>
              <w:rPr>
                <w:rFonts w:hint="default" w:ascii="Times New Roman" w:hAnsi="Times New Roman" w:eastAsia="宋体" w:cs="Times New Roman"/>
                <w:color w:val="auto"/>
                <w:spacing w:val="-5"/>
                <w:sz w:val="21"/>
                <w:szCs w:val="24"/>
                <w:highlight w:val="none"/>
              </w:rPr>
              <w:t>，并结合</w:t>
            </w:r>
            <w:r>
              <w:rPr>
                <w:rFonts w:hint="default" w:ascii="Times New Roman" w:hAnsi="Times New Roman" w:eastAsia="宋体" w:cs="Times New Roman"/>
                <w:color w:val="auto"/>
                <w:spacing w:val="-5"/>
                <w:sz w:val="21"/>
                <w:szCs w:val="24"/>
                <w:highlight w:val="none"/>
                <w:lang w:val="en-US" w:eastAsia="zh-CN"/>
              </w:rPr>
              <w:t>企业</w:t>
            </w:r>
            <w:r>
              <w:rPr>
                <w:rFonts w:hint="default" w:ascii="Times New Roman" w:hAnsi="Times New Roman" w:eastAsia="宋体" w:cs="Times New Roman"/>
                <w:color w:val="auto"/>
                <w:spacing w:val="-5"/>
                <w:sz w:val="21"/>
                <w:szCs w:val="24"/>
                <w:highlight w:val="none"/>
              </w:rPr>
              <w:t>的实际排污状况制定废</w:t>
            </w:r>
            <w:r>
              <w:rPr>
                <w:rFonts w:hint="default" w:ascii="Times New Roman" w:hAnsi="Times New Roman" w:eastAsia="宋体" w:cs="Times New Roman"/>
                <w:color w:val="auto"/>
                <w:spacing w:val="-5"/>
                <w:sz w:val="21"/>
                <w:szCs w:val="24"/>
                <w:highlight w:val="none"/>
                <w:lang w:val="en-US" w:eastAsia="zh-CN"/>
              </w:rPr>
              <w:t>水</w:t>
            </w:r>
            <w:r>
              <w:rPr>
                <w:rFonts w:hint="default" w:ascii="Times New Roman" w:hAnsi="Times New Roman" w:eastAsia="宋体" w:cs="Times New Roman"/>
                <w:color w:val="auto"/>
                <w:spacing w:val="-5"/>
                <w:sz w:val="21"/>
                <w:szCs w:val="24"/>
                <w:highlight w:val="none"/>
              </w:rPr>
              <w:t>监测计划。</w:t>
            </w:r>
          </w:p>
          <w:p w14:paraId="28F81C99">
            <w:pPr>
              <w:pStyle w:val="126"/>
              <w:keepNext/>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2"/>
                <w:highlight w:val="none"/>
              </w:rPr>
            </w:pPr>
            <w:r>
              <w:rPr>
                <w:rFonts w:hint="default" w:ascii="Times New Roman" w:hAnsi="Times New Roman" w:eastAsia="宋体" w:cs="Times New Roman"/>
                <w:color w:val="auto"/>
                <w:sz w:val="21"/>
                <w:szCs w:val="22"/>
                <w:highlight w:val="none"/>
              </w:rPr>
              <w:t>表4-</w:t>
            </w:r>
            <w:r>
              <w:rPr>
                <w:rFonts w:hint="eastAsia" w:ascii="Times New Roman" w:cs="Times New Roman"/>
                <w:color w:val="auto"/>
                <w:sz w:val="21"/>
                <w:szCs w:val="22"/>
                <w:highlight w:val="none"/>
                <w:lang w:val="en-US" w:eastAsia="zh-CN"/>
              </w:rPr>
              <w:t>7</w:t>
            </w:r>
            <w:r>
              <w:rPr>
                <w:rFonts w:hint="default" w:ascii="Times New Roman" w:hAnsi="Times New Roman" w:eastAsia="宋体" w:cs="Times New Roman"/>
                <w:color w:val="auto"/>
                <w:sz w:val="21"/>
                <w:szCs w:val="22"/>
                <w:highlight w:val="none"/>
              </w:rPr>
              <w:t xml:space="preserve">  </w:t>
            </w:r>
            <w:r>
              <w:rPr>
                <w:rFonts w:hint="default" w:ascii="Times New Roman" w:hAnsi="Times New Roman" w:eastAsia="宋体" w:cs="Times New Roman"/>
                <w:color w:val="auto"/>
                <w:sz w:val="21"/>
                <w:szCs w:val="22"/>
                <w:highlight w:val="none"/>
                <w:lang w:val="en-US" w:eastAsia="zh-CN"/>
              </w:rPr>
              <w:t>废水</w:t>
            </w:r>
            <w:r>
              <w:rPr>
                <w:rFonts w:hint="default" w:ascii="Times New Roman" w:hAnsi="Times New Roman" w:eastAsia="宋体" w:cs="Times New Roman"/>
                <w:color w:val="auto"/>
                <w:sz w:val="21"/>
                <w:szCs w:val="22"/>
                <w:highlight w:val="none"/>
              </w:rPr>
              <w:t>监测</w:t>
            </w:r>
            <w:r>
              <w:rPr>
                <w:rFonts w:hint="default" w:ascii="Times New Roman" w:hAnsi="Times New Roman" w:eastAsia="宋体" w:cs="Times New Roman"/>
                <w:color w:val="auto"/>
                <w:sz w:val="21"/>
                <w:szCs w:val="22"/>
                <w:highlight w:val="none"/>
                <w:lang w:val="en-US" w:eastAsia="zh-CN"/>
              </w:rPr>
              <w:t>计划</w:t>
            </w:r>
            <w:r>
              <w:rPr>
                <w:rFonts w:hint="default" w:ascii="Times New Roman" w:hAnsi="Times New Roman" w:eastAsia="宋体" w:cs="Times New Roman"/>
                <w:color w:val="auto"/>
                <w:sz w:val="21"/>
                <w:szCs w:val="22"/>
                <w:highlight w:val="none"/>
              </w:rPr>
              <w:t>一览表</w:t>
            </w:r>
          </w:p>
          <w:tbl>
            <w:tblPr>
              <w:tblStyle w:val="4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267"/>
              <w:gridCol w:w="3584"/>
              <w:gridCol w:w="1757"/>
              <w:gridCol w:w="1811"/>
            </w:tblGrid>
            <w:tr w14:paraId="2F974D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462" w:hRule="atLeast"/>
                <w:jc w:val="center"/>
              </w:trPr>
              <w:tc>
                <w:tcPr>
                  <w:tcW w:w="1268" w:type="dxa"/>
                  <w:vAlign w:val="center"/>
                </w:tcPr>
                <w:p w14:paraId="2CCC2B16">
                  <w:pPr>
                    <w:pStyle w:val="312"/>
                    <w:rPr>
                      <w:rFonts w:hint="default" w:ascii="Times New Roman" w:hAnsi="Times New Roman" w:eastAsia="宋体" w:cs="Times New Roman"/>
                      <w:color w:val="auto"/>
                      <w:sz w:val="21"/>
                      <w:highlight w:val="none"/>
                      <w:lang w:val="zh-CN"/>
                    </w:rPr>
                  </w:pPr>
                  <w:r>
                    <w:rPr>
                      <w:rFonts w:hint="default" w:ascii="Times New Roman" w:hAnsi="Times New Roman" w:eastAsia="宋体" w:cs="Times New Roman"/>
                      <w:color w:val="auto"/>
                      <w:sz w:val="21"/>
                      <w:highlight w:val="none"/>
                      <w:lang w:val="zh-CN"/>
                    </w:rPr>
                    <w:t>类别</w:t>
                  </w:r>
                </w:p>
              </w:tc>
              <w:tc>
                <w:tcPr>
                  <w:tcW w:w="3584" w:type="dxa"/>
                  <w:vAlign w:val="center"/>
                </w:tcPr>
                <w:p w14:paraId="780A8046">
                  <w:pPr>
                    <w:pStyle w:val="312"/>
                    <w:rPr>
                      <w:rFonts w:hint="default" w:ascii="Times New Roman" w:hAnsi="Times New Roman" w:eastAsia="宋体" w:cs="Times New Roman"/>
                      <w:color w:val="auto"/>
                      <w:sz w:val="21"/>
                      <w:highlight w:val="none"/>
                      <w:lang w:val="zh-CN"/>
                    </w:rPr>
                  </w:pPr>
                  <w:r>
                    <w:rPr>
                      <w:rFonts w:hint="default" w:ascii="Times New Roman" w:hAnsi="Times New Roman" w:eastAsia="宋体" w:cs="Times New Roman"/>
                      <w:color w:val="auto"/>
                      <w:sz w:val="21"/>
                      <w:highlight w:val="none"/>
                      <w:lang w:val="zh-CN"/>
                    </w:rPr>
                    <w:t>监测项目</w:t>
                  </w:r>
                </w:p>
              </w:tc>
              <w:tc>
                <w:tcPr>
                  <w:tcW w:w="1757" w:type="dxa"/>
                  <w:vAlign w:val="center"/>
                </w:tcPr>
                <w:p w14:paraId="29E7F0DF">
                  <w:pPr>
                    <w:pStyle w:val="312"/>
                    <w:rPr>
                      <w:rFonts w:hint="default" w:ascii="Times New Roman" w:hAnsi="Times New Roman" w:eastAsia="宋体" w:cs="Times New Roman"/>
                      <w:color w:val="auto"/>
                      <w:sz w:val="21"/>
                      <w:highlight w:val="none"/>
                      <w:lang w:val="zh-CN"/>
                    </w:rPr>
                  </w:pPr>
                  <w:r>
                    <w:rPr>
                      <w:rFonts w:hint="default" w:ascii="Times New Roman" w:hAnsi="Times New Roman" w:eastAsia="宋体" w:cs="Times New Roman"/>
                      <w:color w:val="auto"/>
                      <w:sz w:val="21"/>
                      <w:highlight w:val="none"/>
                      <w:lang w:val="zh-CN"/>
                    </w:rPr>
                    <w:t>监测点</w:t>
                  </w:r>
                </w:p>
              </w:tc>
              <w:tc>
                <w:tcPr>
                  <w:tcW w:w="1811" w:type="dxa"/>
                  <w:vAlign w:val="center"/>
                </w:tcPr>
                <w:p w14:paraId="711EACA8">
                  <w:pPr>
                    <w:pStyle w:val="312"/>
                    <w:rPr>
                      <w:rFonts w:hint="default" w:ascii="Times New Roman" w:hAnsi="Times New Roman" w:eastAsia="宋体" w:cs="Times New Roman"/>
                      <w:color w:val="auto"/>
                      <w:sz w:val="21"/>
                      <w:highlight w:val="none"/>
                      <w:lang w:val="zh-CN"/>
                    </w:rPr>
                  </w:pPr>
                  <w:r>
                    <w:rPr>
                      <w:rFonts w:hint="default" w:ascii="Times New Roman" w:hAnsi="Times New Roman" w:eastAsia="宋体" w:cs="Times New Roman"/>
                      <w:color w:val="auto"/>
                      <w:sz w:val="21"/>
                      <w:highlight w:val="none"/>
                      <w:lang w:val="zh-CN"/>
                    </w:rPr>
                    <w:t>监测频率</w:t>
                  </w:r>
                </w:p>
              </w:tc>
            </w:tr>
            <w:tr w14:paraId="1B1A6C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509" w:hRule="atLeast"/>
                <w:jc w:val="center"/>
              </w:trPr>
              <w:tc>
                <w:tcPr>
                  <w:tcW w:w="1268" w:type="dxa"/>
                  <w:vAlign w:val="center"/>
                </w:tcPr>
                <w:p w14:paraId="0B12C60F">
                  <w:pPr>
                    <w:pStyle w:val="312"/>
                    <w:rPr>
                      <w:rFonts w:hint="default" w:ascii="Times New Roman" w:hAnsi="Times New Roman" w:eastAsia="宋体" w:cs="Times New Roman"/>
                      <w:color w:val="auto"/>
                      <w:sz w:val="21"/>
                      <w:highlight w:val="none"/>
                      <w:lang w:val="zh-CN"/>
                    </w:rPr>
                  </w:pPr>
                  <w:r>
                    <w:rPr>
                      <w:rFonts w:hint="default" w:ascii="Times New Roman" w:hAnsi="Times New Roman" w:eastAsia="宋体" w:cs="Times New Roman"/>
                      <w:color w:val="auto"/>
                      <w:sz w:val="21"/>
                      <w:highlight w:val="none"/>
                      <w:lang w:val="zh-CN"/>
                    </w:rPr>
                    <w:t>废水</w:t>
                  </w:r>
                </w:p>
              </w:tc>
              <w:tc>
                <w:tcPr>
                  <w:tcW w:w="3584" w:type="dxa"/>
                  <w:vAlign w:val="center"/>
                </w:tcPr>
                <w:p w14:paraId="26CA3E60">
                  <w:pPr>
                    <w:pStyle w:val="312"/>
                    <w:rPr>
                      <w:rFonts w:hint="default" w:ascii="Times New Roman" w:hAnsi="Times New Roman" w:eastAsia="宋体" w:cs="Times New Roman"/>
                      <w:color w:val="auto"/>
                      <w:sz w:val="21"/>
                      <w:highlight w:val="none"/>
                      <w:vertAlign w:val="baseline"/>
                      <w:lang w:val="en-US" w:eastAsia="zh-CN"/>
                    </w:rPr>
                  </w:pPr>
                  <w:r>
                    <w:rPr>
                      <w:rFonts w:hint="eastAsia" w:cs="Times New Roman"/>
                      <w:color w:val="auto"/>
                      <w:sz w:val="21"/>
                      <w:szCs w:val="21"/>
                      <w:highlight w:val="none"/>
                      <w:lang w:val="en-US" w:eastAsia="zh-CN"/>
                    </w:rPr>
                    <w:t>C</w:t>
                  </w:r>
                  <w:r>
                    <w:rPr>
                      <w:rFonts w:hint="default" w:ascii="Times New Roman" w:hAnsi="Times New Roman" w:eastAsia="宋体" w:cs="Times New Roman"/>
                      <w:color w:val="auto"/>
                      <w:sz w:val="21"/>
                      <w:szCs w:val="21"/>
                      <w:highlight w:val="none"/>
                    </w:rPr>
                    <w:t>OD</w:t>
                  </w:r>
                  <w:r>
                    <w:rPr>
                      <w:rFonts w:hint="default" w:ascii="Times New Roman" w:hAnsi="Times New Roman" w:eastAsia="宋体" w:cs="Times New Roman"/>
                      <w:color w:val="auto"/>
                      <w:sz w:val="21"/>
                      <w:szCs w:val="21"/>
                      <w:highlight w:val="none"/>
                      <w:vertAlign w:val="baseline"/>
                      <w:lang w:eastAsia="zh-CN"/>
                    </w:rPr>
                    <w:t>、</w:t>
                  </w:r>
                  <w:r>
                    <w:rPr>
                      <w:rFonts w:hint="default" w:ascii="Times New Roman" w:hAnsi="Times New Roman" w:eastAsia="宋体" w:cs="Times New Roman"/>
                      <w:color w:val="auto"/>
                      <w:sz w:val="21"/>
                      <w:szCs w:val="21"/>
                      <w:highlight w:val="none"/>
                    </w:rPr>
                    <w:t>SS</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氨氮</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pH、</w:t>
                  </w:r>
                  <w:r>
                    <w:rPr>
                      <w:rFonts w:hint="eastAsia" w:cs="Times New Roman"/>
                      <w:color w:val="auto"/>
                      <w:sz w:val="21"/>
                      <w:szCs w:val="21"/>
                      <w:highlight w:val="none"/>
                      <w:lang w:val="en-US" w:eastAsia="zh-CN"/>
                    </w:rPr>
                    <w:t>流量</w:t>
                  </w:r>
                </w:p>
              </w:tc>
              <w:tc>
                <w:tcPr>
                  <w:tcW w:w="1757" w:type="dxa"/>
                  <w:vAlign w:val="center"/>
                </w:tcPr>
                <w:p w14:paraId="0657C8A3">
                  <w:pPr>
                    <w:pStyle w:val="312"/>
                    <w:rPr>
                      <w:rFonts w:hint="default" w:ascii="Times New Roman" w:hAnsi="Times New Roman" w:eastAsia="宋体" w:cs="Times New Roman"/>
                      <w:color w:val="auto"/>
                      <w:sz w:val="21"/>
                      <w:highlight w:val="none"/>
                      <w:lang w:val="en-US" w:eastAsia="zh-CN"/>
                    </w:rPr>
                  </w:pPr>
                  <w:r>
                    <w:rPr>
                      <w:rFonts w:hint="eastAsia" w:cs="Times New Roman"/>
                      <w:color w:val="auto"/>
                      <w:sz w:val="21"/>
                      <w:highlight w:val="none"/>
                      <w:lang w:val="en-US" w:eastAsia="zh-CN"/>
                    </w:rPr>
                    <w:t>污水池</w:t>
                  </w:r>
                </w:p>
              </w:tc>
              <w:tc>
                <w:tcPr>
                  <w:tcW w:w="1811" w:type="dxa"/>
                  <w:vAlign w:val="center"/>
                </w:tcPr>
                <w:p w14:paraId="7A96D83C">
                  <w:pPr>
                    <w:pStyle w:val="312"/>
                    <w:rPr>
                      <w:rFonts w:hint="default" w:ascii="Times New Roman" w:hAnsi="Times New Roman" w:eastAsia="宋体" w:cs="Times New Roman"/>
                      <w:color w:val="auto"/>
                      <w:sz w:val="21"/>
                      <w:highlight w:val="none"/>
                      <w:lang w:eastAsia="zh-CN"/>
                    </w:rPr>
                  </w:pPr>
                  <w:r>
                    <w:rPr>
                      <w:rFonts w:hint="default" w:ascii="Times New Roman" w:hAnsi="Times New Roman" w:eastAsia="宋体" w:cs="Times New Roman"/>
                      <w:color w:val="auto"/>
                      <w:sz w:val="21"/>
                      <w:highlight w:val="none"/>
                    </w:rPr>
                    <w:t>1次/</w:t>
                  </w:r>
                  <w:r>
                    <w:rPr>
                      <w:rFonts w:hint="default" w:ascii="Times New Roman" w:hAnsi="Times New Roman" w:eastAsia="宋体" w:cs="Times New Roman"/>
                      <w:color w:val="auto"/>
                      <w:sz w:val="21"/>
                      <w:highlight w:val="none"/>
                      <w:lang w:val="en-US" w:eastAsia="zh-CN"/>
                    </w:rPr>
                    <w:t>年</w:t>
                  </w:r>
                </w:p>
              </w:tc>
            </w:tr>
          </w:tbl>
          <w:p w14:paraId="2CBC0E72">
            <w:pPr>
              <w:spacing w:line="360" w:lineRule="auto"/>
              <w:ind w:left="482"/>
              <w:contextualSpacing/>
              <w:rPr>
                <w:rFonts w:hint="default" w:ascii="Times New Roman" w:hAnsi="Times New Roman" w:eastAsia="宋体" w:cs="Times New Roman"/>
                <w:b w:val="0"/>
                <w:bCs w:val="0"/>
                <w:color w:val="auto"/>
                <w:sz w:val="21"/>
                <w:highlight w:val="none"/>
              </w:rPr>
            </w:pP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lang w:val="en-US" w:eastAsia="zh-CN"/>
              </w:rPr>
              <w:t>4</w:t>
            </w: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rPr>
              <w:t>废水排放环境影响</w:t>
            </w:r>
          </w:p>
          <w:p w14:paraId="5287E806">
            <w:pPr>
              <w:spacing w:line="360" w:lineRule="auto"/>
              <w:ind w:firstLine="420" w:firstLineChars="200"/>
              <w:contextualSpacing/>
              <w:rPr>
                <w:rFonts w:hint="default" w:ascii="Times New Roman" w:hAnsi="Times New Roman" w:eastAsia="宋体" w:cs="Times New Roman"/>
                <w:color w:val="auto"/>
                <w:kern w:val="24"/>
                <w:sz w:val="21"/>
                <w:highlight w:val="none"/>
                <w:lang w:val="en-US" w:eastAsia="zh-CN"/>
              </w:rPr>
            </w:pPr>
            <w:r>
              <w:rPr>
                <w:rFonts w:hint="default" w:ascii="Times New Roman" w:hAnsi="Times New Roman" w:eastAsia="宋体" w:cs="Times New Roman"/>
                <w:color w:val="auto"/>
                <w:kern w:val="24"/>
                <w:sz w:val="21"/>
                <w:highlight w:val="none"/>
                <w:lang w:val="en-US" w:eastAsia="zh-CN"/>
              </w:rPr>
              <w:t>锅炉排污水和软化水制备废水满足</w:t>
            </w:r>
            <w:r>
              <w:rPr>
                <w:rFonts w:hint="default" w:ascii="Times New Roman" w:hAnsi="Times New Roman" w:eastAsia="宋体" w:cs="Times New Roman"/>
                <w:color w:val="auto"/>
                <w:kern w:val="24"/>
                <w:sz w:val="21"/>
                <w:highlight w:val="none"/>
                <w:lang w:eastAsia="zh-CN"/>
              </w:rPr>
              <w:t>《</w:t>
            </w:r>
            <w:r>
              <w:rPr>
                <w:rFonts w:hint="default" w:ascii="Times New Roman" w:hAnsi="Times New Roman" w:eastAsia="宋体" w:cs="Times New Roman"/>
                <w:color w:val="auto"/>
                <w:kern w:val="24"/>
                <w:sz w:val="21"/>
                <w:highlight w:val="none"/>
                <w:lang w:val="en-US" w:eastAsia="zh-CN"/>
              </w:rPr>
              <w:t>污水综合</w:t>
            </w:r>
            <w:r>
              <w:rPr>
                <w:rFonts w:hint="default" w:ascii="Times New Roman" w:hAnsi="Times New Roman" w:eastAsia="宋体" w:cs="Times New Roman"/>
                <w:color w:val="auto"/>
                <w:kern w:val="24"/>
                <w:sz w:val="21"/>
                <w:highlight w:val="none"/>
              </w:rPr>
              <w:t xml:space="preserve">排放标准》（GB </w:t>
            </w:r>
            <w:r>
              <w:rPr>
                <w:rFonts w:hint="default" w:ascii="Times New Roman" w:hAnsi="Times New Roman" w:eastAsia="宋体" w:cs="Times New Roman"/>
                <w:color w:val="auto"/>
                <w:kern w:val="24"/>
                <w:sz w:val="21"/>
                <w:highlight w:val="none"/>
                <w:lang w:val="en-US" w:eastAsia="zh-CN"/>
              </w:rPr>
              <w:t>8978-1996</w:t>
            </w:r>
            <w:r>
              <w:rPr>
                <w:rFonts w:hint="default" w:ascii="Times New Roman" w:hAnsi="Times New Roman" w:eastAsia="宋体" w:cs="Times New Roman"/>
                <w:color w:val="auto"/>
                <w:kern w:val="24"/>
                <w:sz w:val="21"/>
                <w:highlight w:val="none"/>
              </w:rPr>
              <w:t>）中</w:t>
            </w:r>
            <w:r>
              <w:rPr>
                <w:rFonts w:hint="default" w:ascii="Times New Roman" w:hAnsi="Times New Roman" w:eastAsia="宋体" w:cs="Times New Roman"/>
                <w:color w:val="auto"/>
                <w:kern w:val="24"/>
                <w:sz w:val="21"/>
                <w:highlight w:val="none"/>
                <w:lang w:val="en-US" w:eastAsia="zh-CN"/>
              </w:rPr>
              <w:t>三级标准，</w:t>
            </w:r>
            <w:r>
              <w:rPr>
                <w:rFonts w:hint="eastAsia" w:cs="Times New Roman"/>
                <w:color w:val="auto"/>
                <w:kern w:val="24"/>
                <w:sz w:val="21"/>
                <w:highlight w:val="none"/>
                <w:lang w:val="en-US" w:eastAsia="zh-CN"/>
              </w:rPr>
              <w:t>定期拉运至铁力市污水处理厂</w:t>
            </w:r>
            <w:r>
              <w:rPr>
                <w:rFonts w:hint="default" w:ascii="Times New Roman" w:hAnsi="Times New Roman" w:eastAsia="宋体" w:cs="Times New Roman"/>
                <w:smallCaps w:val="0"/>
                <w:snapToGrid w:val="0"/>
                <w:color w:val="auto"/>
                <w:kern w:val="0"/>
                <w:sz w:val="21"/>
                <w:szCs w:val="24"/>
                <w:highlight w:val="none"/>
                <w:lang w:val="en-US" w:eastAsia="zh-CN"/>
              </w:rPr>
              <w:t>处理达标后排放</w:t>
            </w:r>
            <w:r>
              <w:rPr>
                <w:rFonts w:hint="eastAsia" w:cs="Times New Roman"/>
                <w:smallCaps w:val="0"/>
                <w:snapToGrid w:val="0"/>
                <w:color w:val="auto"/>
                <w:kern w:val="0"/>
                <w:sz w:val="21"/>
                <w:szCs w:val="24"/>
                <w:highlight w:val="none"/>
                <w:lang w:val="en-US" w:eastAsia="zh-CN"/>
              </w:rPr>
              <w:t>至呼兰河</w:t>
            </w:r>
            <w:r>
              <w:rPr>
                <w:rFonts w:hint="default" w:ascii="Times New Roman" w:hAnsi="Times New Roman" w:eastAsia="宋体" w:cs="Times New Roman"/>
                <w:smallCaps w:val="0"/>
                <w:snapToGrid w:val="0"/>
                <w:color w:val="auto"/>
                <w:kern w:val="0"/>
                <w:sz w:val="21"/>
                <w:szCs w:val="24"/>
                <w:highlight w:val="none"/>
                <w:lang w:val="en-US" w:eastAsia="zh-CN"/>
              </w:rPr>
              <w:t>。</w:t>
            </w:r>
          </w:p>
          <w:p w14:paraId="5C0521CC">
            <w:pPr>
              <w:spacing w:line="360" w:lineRule="auto"/>
              <w:ind w:firstLine="420" w:firstLineChars="200"/>
              <w:contextualSpacing/>
              <w:rPr>
                <w:rFonts w:hint="default" w:ascii="Times New Roman" w:hAnsi="Times New Roman" w:eastAsia="宋体" w:cs="Times New Roman"/>
                <w:b/>
                <w:bCs/>
                <w:color w:val="auto"/>
                <w:sz w:val="21"/>
                <w:highlight w:val="none"/>
                <w:lang w:val="en-US" w:eastAsia="zh-CN"/>
              </w:rPr>
            </w:pPr>
            <w:r>
              <w:rPr>
                <w:rFonts w:hint="default" w:ascii="Times New Roman" w:hAnsi="Times New Roman" w:eastAsia="宋体" w:cs="Times New Roman"/>
                <w:color w:val="auto"/>
                <w:kern w:val="24"/>
                <w:sz w:val="21"/>
                <w:highlight w:val="none"/>
              </w:rPr>
              <w:t>本项目产生的污水对地表水体环境影响较小。</w:t>
            </w:r>
          </w:p>
          <w:p w14:paraId="15292C90">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b/>
                <w:bCs/>
                <w:color w:val="auto"/>
                <w:sz w:val="21"/>
                <w:highlight w:val="none"/>
                <w:lang w:val="en-US" w:eastAsia="zh-CN"/>
              </w:rPr>
              <w:t>3</w:t>
            </w:r>
            <w:r>
              <w:rPr>
                <w:rFonts w:hint="default" w:ascii="Times New Roman" w:hAnsi="Times New Roman" w:eastAsia="宋体" w:cs="Times New Roman"/>
                <w:b/>
                <w:bCs/>
                <w:color w:val="auto"/>
                <w:sz w:val="21"/>
                <w:highlight w:val="none"/>
              </w:rPr>
              <w:t>、噪声环境影响和保护措施</w:t>
            </w:r>
          </w:p>
          <w:p w14:paraId="2EF20447">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val="0"/>
                <w:bCs w:val="0"/>
                <w:color w:val="auto"/>
                <w:sz w:val="21"/>
                <w:highlight w:val="none"/>
                <w:lang w:eastAsia="zh-CN"/>
              </w:rPr>
            </w:pP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lang w:val="en-US" w:eastAsia="zh-CN"/>
              </w:rPr>
              <w:t>1</w:t>
            </w: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rPr>
              <w:t>噪声源强</w:t>
            </w:r>
          </w:p>
          <w:p w14:paraId="34D7D357">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本项目噪声污染源主要为</w:t>
            </w:r>
            <w:r>
              <w:rPr>
                <w:rFonts w:hint="default" w:ascii="Times New Roman" w:hAnsi="Times New Roman" w:eastAsia="宋体" w:cs="Times New Roman"/>
                <w:color w:val="auto"/>
                <w:sz w:val="21"/>
                <w:highlight w:val="none"/>
                <w:lang w:val="en-US" w:eastAsia="zh-CN"/>
              </w:rPr>
              <w:t>锅炉</w:t>
            </w:r>
            <w:r>
              <w:rPr>
                <w:rFonts w:hint="default" w:ascii="Times New Roman" w:hAnsi="Times New Roman" w:eastAsia="宋体" w:cs="Times New Roman"/>
                <w:color w:val="auto"/>
                <w:sz w:val="21"/>
                <w:highlight w:val="none"/>
              </w:rPr>
              <w:t>风机</w:t>
            </w: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lang w:val="en-US" w:eastAsia="zh-CN"/>
              </w:rPr>
              <w:t>水泵</w:t>
            </w:r>
            <w:r>
              <w:rPr>
                <w:rFonts w:hint="default" w:ascii="Times New Roman" w:hAnsi="Times New Roman" w:eastAsia="宋体" w:cs="Times New Roman"/>
                <w:color w:val="auto"/>
                <w:sz w:val="21"/>
                <w:highlight w:val="none"/>
              </w:rPr>
              <w:t>等设备产生的噪声，项目噪声污染源源强核算结果及相关参数见表4-</w:t>
            </w:r>
            <w:r>
              <w:rPr>
                <w:rFonts w:hint="default" w:ascii="Times New Roman" w:hAnsi="Times New Roman" w:eastAsia="宋体" w:cs="Times New Roman"/>
                <w:color w:val="auto"/>
                <w:sz w:val="21"/>
                <w:highlight w:val="none"/>
                <w:lang w:val="en-US" w:eastAsia="zh-CN"/>
              </w:rPr>
              <w:t>8</w:t>
            </w:r>
            <w:r>
              <w:rPr>
                <w:rFonts w:hint="default" w:ascii="Times New Roman" w:hAnsi="Times New Roman" w:eastAsia="宋体" w:cs="Times New Roman"/>
                <w:color w:val="auto"/>
                <w:sz w:val="21"/>
                <w:highlight w:val="none"/>
              </w:rPr>
              <w:t>。</w:t>
            </w:r>
          </w:p>
          <w:p w14:paraId="0A274909">
            <w:pPr>
              <w:pStyle w:val="126"/>
              <w:keepNext/>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2"/>
                <w:highlight w:val="none"/>
              </w:rPr>
            </w:pPr>
            <w:r>
              <w:rPr>
                <w:rFonts w:hint="default" w:ascii="Times New Roman" w:hAnsi="Times New Roman" w:eastAsia="宋体" w:cs="Times New Roman"/>
                <w:color w:val="auto"/>
                <w:sz w:val="21"/>
                <w:szCs w:val="22"/>
                <w:highlight w:val="none"/>
              </w:rPr>
              <w:t>表4-</w:t>
            </w:r>
            <w:r>
              <w:rPr>
                <w:rFonts w:hint="eastAsia" w:ascii="Times New Roman" w:cs="Times New Roman"/>
                <w:color w:val="auto"/>
                <w:sz w:val="21"/>
                <w:szCs w:val="22"/>
                <w:highlight w:val="none"/>
                <w:lang w:val="en-US" w:eastAsia="zh-CN"/>
              </w:rPr>
              <w:t>8</w:t>
            </w:r>
            <w:r>
              <w:rPr>
                <w:rFonts w:hint="default" w:ascii="Times New Roman" w:hAnsi="Times New Roman" w:eastAsia="宋体" w:cs="Times New Roman"/>
                <w:color w:val="auto"/>
                <w:sz w:val="21"/>
                <w:szCs w:val="22"/>
                <w:highlight w:val="none"/>
              </w:rPr>
              <w:t xml:space="preserve"> 噪声污染源源强核算结果及相关参数一览表</w:t>
            </w:r>
          </w:p>
          <w:tbl>
            <w:tblPr>
              <w:tblStyle w:val="42"/>
              <w:tblW w:w="461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61"/>
              <w:gridCol w:w="1098"/>
              <w:gridCol w:w="822"/>
              <w:gridCol w:w="930"/>
              <w:gridCol w:w="1065"/>
              <w:gridCol w:w="3"/>
              <w:gridCol w:w="1137"/>
              <w:gridCol w:w="1110"/>
              <w:gridCol w:w="1140"/>
            </w:tblGrid>
            <w:tr w14:paraId="5DEE17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96" w:hRule="atLeast"/>
                <w:jc w:val="center"/>
              </w:trPr>
              <w:tc>
                <w:tcPr>
                  <w:tcW w:w="297" w:type="pct"/>
                  <w:tcBorders>
                    <w:tl2br w:val="nil"/>
                    <w:tr2bl w:val="nil"/>
                  </w:tcBorders>
                  <w:noWrap w:val="0"/>
                  <w:tcMar>
                    <w:top w:w="15" w:type="dxa"/>
                    <w:left w:w="15" w:type="dxa"/>
                    <w:bottom w:w="0" w:type="dxa"/>
                    <w:right w:w="15" w:type="dxa"/>
                  </w:tcMar>
                  <w:vAlign w:val="center"/>
                </w:tcPr>
                <w:p w14:paraId="5CDAD409">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序号</w:t>
                  </w:r>
                </w:p>
              </w:tc>
              <w:tc>
                <w:tcPr>
                  <w:tcW w:w="706" w:type="pct"/>
                  <w:tcBorders>
                    <w:tl2br w:val="nil"/>
                    <w:tr2bl w:val="nil"/>
                  </w:tcBorders>
                  <w:noWrap w:val="0"/>
                  <w:tcMar>
                    <w:top w:w="15" w:type="dxa"/>
                    <w:left w:w="15" w:type="dxa"/>
                    <w:bottom w:w="0" w:type="dxa"/>
                    <w:right w:w="15" w:type="dxa"/>
                  </w:tcMar>
                  <w:vAlign w:val="center"/>
                </w:tcPr>
                <w:p w14:paraId="132ECBF5">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声源名称</w:t>
                  </w:r>
                </w:p>
              </w:tc>
              <w:tc>
                <w:tcPr>
                  <w:tcW w:w="529" w:type="pct"/>
                  <w:tcBorders>
                    <w:tl2br w:val="nil"/>
                    <w:tr2bl w:val="nil"/>
                  </w:tcBorders>
                  <w:noWrap w:val="0"/>
                  <w:tcMar>
                    <w:top w:w="15" w:type="dxa"/>
                    <w:left w:w="15" w:type="dxa"/>
                    <w:bottom w:w="0" w:type="dxa"/>
                    <w:right w:w="15" w:type="dxa"/>
                  </w:tcMar>
                  <w:vAlign w:val="center"/>
                </w:tcPr>
                <w:p w14:paraId="0ED10CC4">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个数</w:t>
                  </w:r>
                </w:p>
              </w:tc>
              <w:tc>
                <w:tcPr>
                  <w:tcW w:w="598" w:type="pct"/>
                  <w:tcBorders>
                    <w:tl2br w:val="nil"/>
                    <w:tr2bl w:val="nil"/>
                  </w:tcBorders>
                  <w:noWrap w:val="0"/>
                  <w:tcMar>
                    <w:top w:w="15" w:type="dxa"/>
                    <w:left w:w="15" w:type="dxa"/>
                    <w:bottom w:w="0" w:type="dxa"/>
                    <w:right w:w="15" w:type="dxa"/>
                  </w:tcMar>
                  <w:vAlign w:val="center"/>
                </w:tcPr>
                <w:p w14:paraId="76084BB6">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声源源强</w:t>
                  </w:r>
                </w:p>
                <w:p w14:paraId="4EB49353">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声压级/dB（A）</w:t>
                  </w:r>
                </w:p>
              </w:tc>
              <w:tc>
                <w:tcPr>
                  <w:tcW w:w="687" w:type="pct"/>
                  <w:gridSpan w:val="2"/>
                  <w:tcBorders>
                    <w:tl2br w:val="nil"/>
                    <w:tr2bl w:val="nil"/>
                  </w:tcBorders>
                  <w:noWrap w:val="0"/>
                  <w:tcMar>
                    <w:top w:w="15" w:type="dxa"/>
                    <w:left w:w="15" w:type="dxa"/>
                    <w:bottom w:w="0" w:type="dxa"/>
                    <w:right w:w="15" w:type="dxa"/>
                  </w:tcMar>
                  <w:vAlign w:val="center"/>
                </w:tcPr>
                <w:p w14:paraId="3CC997DB">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声源控制措施</w:t>
                  </w:r>
                </w:p>
              </w:tc>
              <w:tc>
                <w:tcPr>
                  <w:tcW w:w="731" w:type="pct"/>
                  <w:tcBorders>
                    <w:tl2br w:val="nil"/>
                    <w:tr2bl w:val="nil"/>
                  </w:tcBorders>
                  <w:noWrap w:val="0"/>
                  <w:tcMar>
                    <w:top w:w="15" w:type="dxa"/>
                    <w:left w:w="15" w:type="dxa"/>
                    <w:bottom w:w="0" w:type="dxa"/>
                    <w:right w:w="15" w:type="dxa"/>
                  </w:tcMar>
                  <w:vAlign w:val="center"/>
                </w:tcPr>
                <w:p w14:paraId="14DE40A6">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降噪效果</w:t>
                  </w:r>
                  <w:r>
                    <w:rPr>
                      <w:rFonts w:hint="default" w:ascii="Times New Roman" w:hAnsi="Times New Roman" w:eastAsia="宋体" w:cs="Times New Roman"/>
                      <w:b w:val="0"/>
                      <w:bCs w:val="0"/>
                      <w:color w:val="auto"/>
                      <w:kern w:val="0"/>
                      <w:sz w:val="21"/>
                      <w:szCs w:val="21"/>
                      <w:highlight w:val="none"/>
                    </w:rPr>
                    <w:t>/dB（A）</w:t>
                  </w:r>
                </w:p>
              </w:tc>
              <w:tc>
                <w:tcPr>
                  <w:tcW w:w="714" w:type="pct"/>
                  <w:tcBorders>
                    <w:tl2br w:val="nil"/>
                    <w:tr2bl w:val="nil"/>
                  </w:tcBorders>
                  <w:noWrap w:val="0"/>
                  <w:tcMar>
                    <w:top w:w="15" w:type="dxa"/>
                    <w:left w:w="15" w:type="dxa"/>
                    <w:bottom w:w="0" w:type="dxa"/>
                    <w:right w:w="15" w:type="dxa"/>
                  </w:tcMar>
                  <w:vAlign w:val="center"/>
                </w:tcPr>
                <w:p w14:paraId="5A370B31">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rPr>
                  </w:pPr>
                  <w:r>
                    <w:rPr>
                      <w:rFonts w:hint="eastAsia" w:ascii="Times New Roman" w:hAnsi="Times New Roman" w:eastAsia="宋体" w:cs="Times New Roman"/>
                      <w:b w:val="0"/>
                      <w:bCs w:val="0"/>
                      <w:color w:val="auto"/>
                      <w:kern w:val="0"/>
                      <w:sz w:val="21"/>
                      <w:szCs w:val="21"/>
                      <w:highlight w:val="none"/>
                      <w:lang w:val="en-US" w:eastAsia="zh-CN"/>
                    </w:rPr>
                    <w:t>排放强度</w:t>
                  </w:r>
                  <w:r>
                    <w:rPr>
                      <w:rFonts w:hint="default" w:ascii="Times New Roman" w:hAnsi="Times New Roman" w:eastAsia="宋体" w:cs="Times New Roman"/>
                      <w:b w:val="0"/>
                      <w:bCs w:val="0"/>
                      <w:color w:val="auto"/>
                      <w:kern w:val="0"/>
                      <w:sz w:val="21"/>
                      <w:szCs w:val="21"/>
                      <w:highlight w:val="none"/>
                    </w:rPr>
                    <w:t>/dB（A）</w:t>
                  </w:r>
                </w:p>
              </w:tc>
              <w:tc>
                <w:tcPr>
                  <w:tcW w:w="733" w:type="pct"/>
                  <w:tcBorders>
                    <w:tl2br w:val="nil"/>
                    <w:tr2bl w:val="nil"/>
                  </w:tcBorders>
                  <w:noWrap w:val="0"/>
                  <w:tcMar>
                    <w:top w:w="15" w:type="dxa"/>
                    <w:left w:w="15" w:type="dxa"/>
                    <w:bottom w:w="0" w:type="dxa"/>
                    <w:right w:w="15" w:type="dxa"/>
                  </w:tcMar>
                  <w:vAlign w:val="center"/>
                </w:tcPr>
                <w:p w14:paraId="5F1B4412">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持续时间</w:t>
                  </w:r>
                </w:p>
              </w:tc>
            </w:tr>
            <w:tr w14:paraId="2F8F8B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297" w:type="pct"/>
                  <w:tcBorders>
                    <w:tl2br w:val="nil"/>
                    <w:tr2bl w:val="nil"/>
                  </w:tcBorders>
                  <w:noWrap w:val="0"/>
                  <w:tcMar>
                    <w:top w:w="15" w:type="dxa"/>
                    <w:left w:w="15" w:type="dxa"/>
                    <w:bottom w:w="0" w:type="dxa"/>
                    <w:right w:w="15" w:type="dxa"/>
                  </w:tcMar>
                  <w:vAlign w:val="center"/>
                </w:tcPr>
                <w:p w14:paraId="2A12DE60">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1</w:t>
                  </w:r>
                </w:p>
              </w:tc>
              <w:tc>
                <w:tcPr>
                  <w:tcW w:w="706" w:type="pct"/>
                  <w:tcBorders>
                    <w:tl2br w:val="nil"/>
                    <w:tr2bl w:val="nil"/>
                  </w:tcBorders>
                  <w:noWrap w:val="0"/>
                  <w:tcMar>
                    <w:top w:w="15" w:type="dxa"/>
                    <w:left w:w="15" w:type="dxa"/>
                    <w:bottom w:w="0" w:type="dxa"/>
                    <w:right w:w="15" w:type="dxa"/>
                  </w:tcMar>
                  <w:vAlign w:val="center"/>
                </w:tcPr>
                <w:p w14:paraId="6BBE6E86">
                  <w:pPr>
                    <w:pStyle w:val="271"/>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鼓</w:t>
                  </w:r>
                  <w:r>
                    <w:rPr>
                      <w:rFonts w:hint="default" w:ascii="Times New Roman" w:hAnsi="Times New Roman" w:eastAsia="宋体" w:cs="Times New Roman"/>
                      <w:b w:val="0"/>
                      <w:bCs w:val="0"/>
                      <w:color w:val="auto"/>
                      <w:sz w:val="21"/>
                      <w:szCs w:val="21"/>
                      <w:highlight w:val="none"/>
                    </w:rPr>
                    <w:t>风机</w:t>
                  </w:r>
                </w:p>
              </w:tc>
              <w:tc>
                <w:tcPr>
                  <w:tcW w:w="529" w:type="pct"/>
                  <w:tcBorders>
                    <w:tl2br w:val="nil"/>
                    <w:tr2bl w:val="nil"/>
                  </w:tcBorders>
                  <w:noWrap w:val="0"/>
                  <w:tcMar>
                    <w:top w:w="15" w:type="dxa"/>
                    <w:left w:w="15" w:type="dxa"/>
                    <w:bottom w:w="0" w:type="dxa"/>
                    <w:right w:w="15" w:type="dxa"/>
                  </w:tcMar>
                  <w:vAlign w:val="center"/>
                </w:tcPr>
                <w:p w14:paraId="258AEFCF">
                  <w:pPr>
                    <w:pStyle w:val="271"/>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598" w:type="pct"/>
                  <w:tcBorders>
                    <w:tl2br w:val="nil"/>
                    <w:tr2bl w:val="nil"/>
                  </w:tcBorders>
                  <w:noWrap w:val="0"/>
                  <w:tcMar>
                    <w:top w:w="15" w:type="dxa"/>
                    <w:left w:w="15" w:type="dxa"/>
                    <w:bottom w:w="0" w:type="dxa"/>
                    <w:right w:w="15" w:type="dxa"/>
                  </w:tcMar>
                  <w:vAlign w:val="center"/>
                </w:tcPr>
                <w:p w14:paraId="12927BB4">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8</w:t>
                  </w:r>
                  <w:r>
                    <w:rPr>
                      <w:rFonts w:hint="default" w:ascii="Times New Roman" w:hAnsi="Times New Roman" w:eastAsia="宋体" w:cs="Times New Roman"/>
                      <w:b w:val="0"/>
                      <w:bCs w:val="0"/>
                      <w:color w:val="auto"/>
                      <w:sz w:val="21"/>
                      <w:szCs w:val="21"/>
                      <w:highlight w:val="none"/>
                      <w:lang w:val="en-US" w:eastAsia="zh-CN"/>
                    </w:rPr>
                    <w:t>0</w:t>
                  </w:r>
                </w:p>
              </w:tc>
              <w:tc>
                <w:tcPr>
                  <w:tcW w:w="685" w:type="pct"/>
                  <w:vMerge w:val="restart"/>
                  <w:tcBorders>
                    <w:tl2br w:val="nil"/>
                    <w:tr2bl w:val="nil"/>
                  </w:tcBorders>
                  <w:noWrap w:val="0"/>
                  <w:tcMar>
                    <w:top w:w="15" w:type="dxa"/>
                    <w:left w:w="15" w:type="dxa"/>
                    <w:bottom w:w="0" w:type="dxa"/>
                    <w:right w:w="15" w:type="dxa"/>
                  </w:tcMar>
                  <w:vAlign w:val="center"/>
                </w:tcPr>
                <w:p w14:paraId="3CFD9A07">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eastAsia="zh-CN"/>
                    </w:rPr>
                  </w:pPr>
                  <w:r>
                    <w:rPr>
                      <w:rFonts w:hint="default" w:ascii="Times New Roman" w:hAnsi="Times New Roman" w:eastAsia="宋体" w:cs="Times New Roman"/>
                      <w:b w:val="0"/>
                      <w:bCs w:val="0"/>
                      <w:color w:val="auto"/>
                      <w:kern w:val="0"/>
                      <w:sz w:val="21"/>
                      <w:szCs w:val="21"/>
                      <w:highlight w:val="none"/>
                      <w:lang w:eastAsia="zh-CN"/>
                    </w:rPr>
                    <w:t>低噪设备、隔声、减振处理</w:t>
                  </w:r>
                </w:p>
              </w:tc>
              <w:tc>
                <w:tcPr>
                  <w:tcW w:w="733" w:type="pct"/>
                  <w:gridSpan w:val="2"/>
                  <w:tcBorders>
                    <w:tl2br w:val="nil"/>
                    <w:tr2bl w:val="nil"/>
                  </w:tcBorders>
                  <w:shd w:val="clear" w:color="auto" w:fill="auto"/>
                  <w:noWrap w:val="0"/>
                  <w:tcMar>
                    <w:top w:w="15" w:type="dxa"/>
                    <w:left w:w="15" w:type="dxa"/>
                    <w:bottom w:w="0" w:type="dxa"/>
                    <w:right w:w="15" w:type="dxa"/>
                  </w:tcMar>
                  <w:vAlign w:val="center"/>
                </w:tcPr>
                <w:p w14:paraId="2270BCBC">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cs="Times New Roman"/>
                      <w:b w:val="0"/>
                      <w:bCs w:val="0"/>
                      <w:color w:val="auto"/>
                      <w:kern w:val="0"/>
                      <w:sz w:val="21"/>
                      <w:szCs w:val="21"/>
                      <w:highlight w:val="none"/>
                      <w:lang w:val="en-US" w:eastAsia="zh-CN"/>
                    </w:rPr>
                    <w:t>20</w:t>
                  </w:r>
                </w:p>
              </w:tc>
              <w:tc>
                <w:tcPr>
                  <w:tcW w:w="714" w:type="pct"/>
                  <w:tcBorders>
                    <w:tl2br w:val="nil"/>
                    <w:tr2bl w:val="nil"/>
                  </w:tcBorders>
                  <w:noWrap w:val="0"/>
                  <w:tcMar>
                    <w:top w:w="15" w:type="dxa"/>
                    <w:left w:w="15" w:type="dxa"/>
                    <w:bottom w:w="0" w:type="dxa"/>
                    <w:right w:w="15" w:type="dxa"/>
                  </w:tcMar>
                  <w:vAlign w:val="center"/>
                </w:tcPr>
                <w:p w14:paraId="73EBDE9B">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60</w:t>
                  </w:r>
                </w:p>
              </w:tc>
              <w:tc>
                <w:tcPr>
                  <w:tcW w:w="733" w:type="pct"/>
                  <w:vMerge w:val="restart"/>
                  <w:tcBorders>
                    <w:tl2br w:val="nil"/>
                    <w:tr2bl w:val="nil"/>
                  </w:tcBorders>
                  <w:noWrap w:val="0"/>
                  <w:tcMar>
                    <w:top w:w="15" w:type="dxa"/>
                    <w:left w:w="15" w:type="dxa"/>
                    <w:bottom w:w="0" w:type="dxa"/>
                    <w:right w:w="15" w:type="dxa"/>
                  </w:tcMar>
                  <w:vAlign w:val="center"/>
                </w:tcPr>
                <w:p w14:paraId="2C9BA8CC">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4320</w:t>
                  </w:r>
                </w:p>
              </w:tc>
            </w:tr>
            <w:tr w14:paraId="7DC5E6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97" w:type="pct"/>
                  <w:tcBorders>
                    <w:tl2br w:val="nil"/>
                    <w:tr2bl w:val="nil"/>
                  </w:tcBorders>
                  <w:noWrap w:val="0"/>
                  <w:tcMar>
                    <w:top w:w="15" w:type="dxa"/>
                    <w:left w:w="15" w:type="dxa"/>
                    <w:bottom w:w="0" w:type="dxa"/>
                    <w:right w:w="15" w:type="dxa"/>
                  </w:tcMar>
                  <w:vAlign w:val="center"/>
                </w:tcPr>
                <w:p w14:paraId="4A614F50">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rPr>
                  </w:pPr>
                  <w:r>
                    <w:rPr>
                      <w:rFonts w:hint="default" w:ascii="Times New Roman" w:hAnsi="Times New Roman" w:eastAsia="宋体" w:cs="Times New Roman"/>
                      <w:b w:val="0"/>
                      <w:bCs w:val="0"/>
                      <w:color w:val="auto"/>
                      <w:kern w:val="0"/>
                      <w:sz w:val="21"/>
                      <w:szCs w:val="21"/>
                      <w:highlight w:val="none"/>
                    </w:rPr>
                    <w:t>2</w:t>
                  </w:r>
                </w:p>
              </w:tc>
              <w:tc>
                <w:tcPr>
                  <w:tcW w:w="706" w:type="pct"/>
                  <w:tcBorders>
                    <w:tl2br w:val="nil"/>
                    <w:tr2bl w:val="nil"/>
                  </w:tcBorders>
                  <w:noWrap w:val="0"/>
                  <w:tcMar>
                    <w:top w:w="15" w:type="dxa"/>
                    <w:left w:w="15" w:type="dxa"/>
                    <w:bottom w:w="0" w:type="dxa"/>
                    <w:right w:w="15" w:type="dxa"/>
                  </w:tcMar>
                  <w:vAlign w:val="center"/>
                </w:tcPr>
                <w:p w14:paraId="435627AB">
                  <w:pPr>
                    <w:pStyle w:val="271"/>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引风机</w:t>
                  </w:r>
                </w:p>
              </w:tc>
              <w:tc>
                <w:tcPr>
                  <w:tcW w:w="529" w:type="pct"/>
                  <w:tcBorders>
                    <w:tl2br w:val="nil"/>
                    <w:tr2bl w:val="nil"/>
                  </w:tcBorders>
                  <w:noWrap w:val="0"/>
                  <w:tcMar>
                    <w:top w:w="15" w:type="dxa"/>
                    <w:left w:w="15" w:type="dxa"/>
                    <w:bottom w:w="0" w:type="dxa"/>
                    <w:right w:w="15" w:type="dxa"/>
                  </w:tcMar>
                  <w:vAlign w:val="center"/>
                </w:tcPr>
                <w:p w14:paraId="5F33F3AF">
                  <w:pPr>
                    <w:pStyle w:val="271"/>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598" w:type="pct"/>
                  <w:tcBorders>
                    <w:tl2br w:val="nil"/>
                    <w:tr2bl w:val="nil"/>
                  </w:tcBorders>
                  <w:noWrap w:val="0"/>
                  <w:tcMar>
                    <w:top w:w="15" w:type="dxa"/>
                    <w:left w:w="15" w:type="dxa"/>
                    <w:bottom w:w="0" w:type="dxa"/>
                    <w:right w:w="15" w:type="dxa"/>
                  </w:tcMar>
                  <w:vAlign w:val="center"/>
                </w:tcPr>
                <w:p w14:paraId="01767106">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80</w:t>
                  </w:r>
                </w:p>
              </w:tc>
              <w:tc>
                <w:tcPr>
                  <w:tcW w:w="685" w:type="pct"/>
                  <w:vMerge w:val="continue"/>
                  <w:tcBorders>
                    <w:tl2br w:val="nil"/>
                    <w:tr2bl w:val="nil"/>
                  </w:tcBorders>
                  <w:noWrap w:val="0"/>
                  <w:tcMar>
                    <w:top w:w="15" w:type="dxa"/>
                    <w:left w:w="15" w:type="dxa"/>
                    <w:bottom w:w="0" w:type="dxa"/>
                    <w:right w:w="15" w:type="dxa"/>
                  </w:tcMar>
                  <w:vAlign w:val="center"/>
                </w:tcPr>
                <w:p w14:paraId="0A0035E0">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eastAsia="zh-CN"/>
                    </w:rPr>
                  </w:pPr>
                </w:p>
              </w:tc>
              <w:tc>
                <w:tcPr>
                  <w:tcW w:w="733" w:type="pct"/>
                  <w:gridSpan w:val="2"/>
                  <w:tcBorders>
                    <w:tl2br w:val="nil"/>
                    <w:tr2bl w:val="nil"/>
                  </w:tcBorders>
                  <w:shd w:val="clear" w:color="auto" w:fill="auto"/>
                  <w:noWrap w:val="0"/>
                  <w:tcMar>
                    <w:top w:w="15" w:type="dxa"/>
                    <w:left w:w="15" w:type="dxa"/>
                    <w:bottom w:w="0" w:type="dxa"/>
                    <w:right w:w="15" w:type="dxa"/>
                  </w:tcMar>
                  <w:vAlign w:val="center"/>
                </w:tcPr>
                <w:p w14:paraId="07C27687">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cs="Times New Roman"/>
                      <w:b w:val="0"/>
                      <w:bCs w:val="0"/>
                      <w:color w:val="auto"/>
                      <w:kern w:val="0"/>
                      <w:sz w:val="21"/>
                      <w:szCs w:val="21"/>
                      <w:highlight w:val="none"/>
                      <w:lang w:val="en-US" w:eastAsia="zh-CN"/>
                    </w:rPr>
                    <w:t>20</w:t>
                  </w:r>
                </w:p>
              </w:tc>
              <w:tc>
                <w:tcPr>
                  <w:tcW w:w="714" w:type="pct"/>
                  <w:tcBorders>
                    <w:tl2br w:val="nil"/>
                    <w:tr2bl w:val="nil"/>
                  </w:tcBorders>
                  <w:noWrap w:val="0"/>
                  <w:tcMar>
                    <w:top w:w="15" w:type="dxa"/>
                    <w:left w:w="15" w:type="dxa"/>
                    <w:bottom w:w="0" w:type="dxa"/>
                    <w:right w:w="15" w:type="dxa"/>
                  </w:tcMar>
                  <w:vAlign w:val="center"/>
                </w:tcPr>
                <w:p w14:paraId="725391B5">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60</w:t>
                  </w:r>
                </w:p>
              </w:tc>
              <w:tc>
                <w:tcPr>
                  <w:tcW w:w="733" w:type="pct"/>
                  <w:vMerge w:val="continue"/>
                  <w:tcBorders>
                    <w:tl2br w:val="nil"/>
                    <w:tr2bl w:val="nil"/>
                  </w:tcBorders>
                  <w:noWrap w:val="0"/>
                  <w:tcMar>
                    <w:top w:w="15" w:type="dxa"/>
                    <w:left w:w="15" w:type="dxa"/>
                    <w:bottom w:w="0" w:type="dxa"/>
                    <w:right w:w="15" w:type="dxa"/>
                  </w:tcMar>
                  <w:vAlign w:val="center"/>
                </w:tcPr>
                <w:p w14:paraId="115C0416">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rPr>
                  </w:pPr>
                </w:p>
              </w:tc>
            </w:tr>
            <w:tr w14:paraId="2C7FB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10" w:hRule="atLeast"/>
                <w:jc w:val="center"/>
              </w:trPr>
              <w:tc>
                <w:tcPr>
                  <w:tcW w:w="297" w:type="pct"/>
                  <w:tcBorders>
                    <w:tl2br w:val="nil"/>
                    <w:tr2bl w:val="nil"/>
                  </w:tcBorders>
                  <w:noWrap w:val="0"/>
                  <w:tcMar>
                    <w:top w:w="15" w:type="dxa"/>
                    <w:left w:w="15" w:type="dxa"/>
                    <w:bottom w:w="0" w:type="dxa"/>
                    <w:right w:w="15" w:type="dxa"/>
                  </w:tcMar>
                  <w:vAlign w:val="center"/>
                </w:tcPr>
                <w:p w14:paraId="0D1428A4">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default" w:ascii="Times New Roman" w:hAnsi="Times New Roman" w:eastAsia="宋体" w:cs="Times New Roman"/>
                      <w:b w:val="0"/>
                      <w:bCs w:val="0"/>
                      <w:color w:val="auto"/>
                      <w:kern w:val="0"/>
                      <w:sz w:val="21"/>
                      <w:szCs w:val="21"/>
                      <w:highlight w:val="none"/>
                      <w:lang w:val="en-US" w:eastAsia="zh-CN"/>
                    </w:rPr>
                    <w:t>3</w:t>
                  </w:r>
                </w:p>
              </w:tc>
              <w:tc>
                <w:tcPr>
                  <w:tcW w:w="706" w:type="pct"/>
                  <w:tcBorders>
                    <w:tl2br w:val="nil"/>
                    <w:tr2bl w:val="nil"/>
                  </w:tcBorders>
                  <w:noWrap w:val="0"/>
                  <w:tcMar>
                    <w:top w:w="15" w:type="dxa"/>
                    <w:left w:w="15" w:type="dxa"/>
                    <w:bottom w:w="0" w:type="dxa"/>
                    <w:right w:w="15" w:type="dxa"/>
                  </w:tcMar>
                  <w:vAlign w:val="center"/>
                </w:tcPr>
                <w:p w14:paraId="22BEB461">
                  <w:pPr>
                    <w:pStyle w:val="271"/>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水泵</w:t>
                  </w:r>
                </w:p>
              </w:tc>
              <w:tc>
                <w:tcPr>
                  <w:tcW w:w="529" w:type="pct"/>
                  <w:tcBorders>
                    <w:tl2br w:val="nil"/>
                    <w:tr2bl w:val="nil"/>
                  </w:tcBorders>
                  <w:noWrap w:val="0"/>
                  <w:tcMar>
                    <w:top w:w="15" w:type="dxa"/>
                    <w:left w:w="15" w:type="dxa"/>
                    <w:bottom w:w="0" w:type="dxa"/>
                    <w:right w:w="15" w:type="dxa"/>
                  </w:tcMar>
                  <w:vAlign w:val="center"/>
                </w:tcPr>
                <w:p w14:paraId="21F07DCC">
                  <w:pPr>
                    <w:pStyle w:val="271"/>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598" w:type="pct"/>
                  <w:tcBorders>
                    <w:tl2br w:val="nil"/>
                    <w:tr2bl w:val="nil"/>
                  </w:tcBorders>
                  <w:noWrap w:val="0"/>
                  <w:tcMar>
                    <w:top w:w="15" w:type="dxa"/>
                    <w:left w:w="15" w:type="dxa"/>
                    <w:bottom w:w="0" w:type="dxa"/>
                    <w:right w:w="15" w:type="dxa"/>
                  </w:tcMar>
                  <w:vAlign w:val="center"/>
                </w:tcPr>
                <w:p w14:paraId="7DF1B1CC">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rPr>
                    <w:t>8</w:t>
                  </w:r>
                  <w:r>
                    <w:rPr>
                      <w:rFonts w:hint="default" w:ascii="Times New Roman" w:hAnsi="Times New Roman" w:eastAsia="宋体" w:cs="Times New Roman"/>
                      <w:b w:val="0"/>
                      <w:bCs w:val="0"/>
                      <w:color w:val="auto"/>
                      <w:sz w:val="21"/>
                      <w:szCs w:val="21"/>
                      <w:highlight w:val="none"/>
                      <w:lang w:val="en-US" w:eastAsia="zh-CN"/>
                    </w:rPr>
                    <w:t>0</w:t>
                  </w:r>
                </w:p>
              </w:tc>
              <w:tc>
                <w:tcPr>
                  <w:tcW w:w="685" w:type="pct"/>
                  <w:vMerge w:val="continue"/>
                  <w:tcBorders>
                    <w:tl2br w:val="nil"/>
                    <w:tr2bl w:val="nil"/>
                  </w:tcBorders>
                  <w:noWrap w:val="0"/>
                  <w:tcMar>
                    <w:top w:w="15" w:type="dxa"/>
                    <w:left w:w="15" w:type="dxa"/>
                    <w:bottom w:w="0" w:type="dxa"/>
                    <w:right w:w="15" w:type="dxa"/>
                  </w:tcMar>
                  <w:vAlign w:val="center"/>
                </w:tcPr>
                <w:p w14:paraId="6EACA665">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eastAsia="zh-CN"/>
                    </w:rPr>
                  </w:pPr>
                </w:p>
              </w:tc>
              <w:tc>
                <w:tcPr>
                  <w:tcW w:w="733" w:type="pct"/>
                  <w:gridSpan w:val="2"/>
                  <w:tcBorders>
                    <w:tl2br w:val="nil"/>
                    <w:tr2bl w:val="nil"/>
                  </w:tcBorders>
                  <w:shd w:val="clear" w:color="auto" w:fill="auto"/>
                  <w:noWrap w:val="0"/>
                  <w:tcMar>
                    <w:top w:w="15" w:type="dxa"/>
                    <w:left w:w="15" w:type="dxa"/>
                    <w:bottom w:w="0" w:type="dxa"/>
                    <w:right w:w="15" w:type="dxa"/>
                  </w:tcMar>
                  <w:vAlign w:val="center"/>
                </w:tcPr>
                <w:p w14:paraId="4CBD93B7">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cs="Times New Roman"/>
                      <w:b w:val="0"/>
                      <w:bCs w:val="0"/>
                      <w:color w:val="auto"/>
                      <w:kern w:val="0"/>
                      <w:sz w:val="21"/>
                      <w:szCs w:val="21"/>
                      <w:highlight w:val="none"/>
                      <w:lang w:val="en-US" w:eastAsia="zh-CN"/>
                    </w:rPr>
                    <w:t>20</w:t>
                  </w:r>
                </w:p>
              </w:tc>
              <w:tc>
                <w:tcPr>
                  <w:tcW w:w="714" w:type="pct"/>
                  <w:tcBorders>
                    <w:tl2br w:val="nil"/>
                    <w:tr2bl w:val="nil"/>
                  </w:tcBorders>
                  <w:noWrap w:val="0"/>
                  <w:tcMar>
                    <w:top w:w="15" w:type="dxa"/>
                    <w:left w:w="15" w:type="dxa"/>
                    <w:bottom w:w="0" w:type="dxa"/>
                    <w:right w:w="15" w:type="dxa"/>
                  </w:tcMar>
                  <w:vAlign w:val="center"/>
                </w:tcPr>
                <w:p w14:paraId="0C731B64">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60</w:t>
                  </w:r>
                </w:p>
              </w:tc>
              <w:tc>
                <w:tcPr>
                  <w:tcW w:w="733" w:type="pct"/>
                  <w:vMerge w:val="continue"/>
                  <w:tcBorders>
                    <w:tl2br w:val="nil"/>
                    <w:tr2bl w:val="nil"/>
                  </w:tcBorders>
                  <w:noWrap w:val="0"/>
                  <w:tcMar>
                    <w:top w:w="15" w:type="dxa"/>
                    <w:left w:w="15" w:type="dxa"/>
                    <w:bottom w:w="0" w:type="dxa"/>
                    <w:right w:w="15" w:type="dxa"/>
                  </w:tcMar>
                  <w:vAlign w:val="center"/>
                </w:tcPr>
                <w:p w14:paraId="34B8EB82">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color w:val="auto"/>
                      <w:kern w:val="0"/>
                      <w:sz w:val="21"/>
                      <w:szCs w:val="21"/>
                      <w:highlight w:val="none"/>
                    </w:rPr>
                  </w:pPr>
                </w:p>
              </w:tc>
            </w:tr>
          </w:tbl>
          <w:p w14:paraId="7FE51F02">
            <w:pPr>
              <w:keepNext/>
              <w:keepLines/>
              <w:spacing w:line="360" w:lineRule="auto"/>
              <w:ind w:firstLine="420" w:firstLineChars="200"/>
              <w:rPr>
                <w:rFonts w:hint="default" w:ascii="Times New Roman" w:hAnsi="Times New Roman" w:eastAsia="宋体" w:cs="Times New Roman"/>
                <w:bCs/>
                <w:color w:val="auto"/>
                <w:sz w:val="21"/>
                <w:szCs w:val="24"/>
                <w:highlight w:val="none"/>
              </w:rPr>
            </w:pPr>
            <w:r>
              <w:rPr>
                <w:rFonts w:hint="default" w:ascii="Times New Roman" w:hAnsi="Times New Roman" w:eastAsia="宋体" w:cs="Times New Roman"/>
                <w:bCs/>
                <w:color w:val="auto"/>
                <w:sz w:val="21"/>
                <w:szCs w:val="24"/>
                <w:highlight w:val="none"/>
                <w:lang w:val="en-US" w:eastAsia="zh-CN"/>
              </w:rPr>
              <w:t>（2）</w:t>
            </w:r>
            <w:r>
              <w:rPr>
                <w:rFonts w:hint="default" w:ascii="Times New Roman" w:hAnsi="Times New Roman" w:eastAsia="宋体" w:cs="Times New Roman"/>
                <w:bCs/>
                <w:color w:val="auto"/>
                <w:sz w:val="21"/>
                <w:szCs w:val="24"/>
                <w:highlight w:val="none"/>
              </w:rPr>
              <w:t>达标分析</w:t>
            </w:r>
          </w:p>
          <w:p w14:paraId="0D5F18DC">
            <w:pPr>
              <w:autoSpaceDE w:val="0"/>
              <w:autoSpaceDN w:val="0"/>
              <w:spacing w:line="360" w:lineRule="auto"/>
              <w:ind w:firstLine="420" w:firstLineChars="200"/>
              <w:contextualSpacing/>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选择《环境影响评价技术导则声环境》(HJ2.4-2021)中推荐的声级计算模型，具体模式如下：</w:t>
            </w:r>
          </w:p>
          <w:p w14:paraId="3458EF23">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1）由建设项目自身声源在预测点产生的声级计算公式：</w:t>
            </w:r>
          </w:p>
          <w:p w14:paraId="59EB0FD7">
            <w:pPr>
              <w:spacing w:line="360" w:lineRule="auto"/>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1837690" cy="465455"/>
                  <wp:effectExtent l="0" t="0" r="0" b="6350"/>
                  <wp:docPr id="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
                          <pic:cNvPicPr>
                            <a:picLocks noChangeAspect="1"/>
                          </pic:cNvPicPr>
                        </pic:nvPicPr>
                        <pic:blipFill>
                          <a:blip r:embed="rId38"/>
                          <a:stretch>
                            <a:fillRect/>
                          </a:stretch>
                        </pic:blipFill>
                        <pic:spPr>
                          <a:xfrm>
                            <a:off x="0" y="0"/>
                            <a:ext cx="1837690" cy="465455"/>
                          </a:xfrm>
                          <a:prstGeom prst="rect">
                            <a:avLst/>
                          </a:prstGeom>
                          <a:noFill/>
                          <a:ln>
                            <a:noFill/>
                          </a:ln>
                        </pic:spPr>
                      </pic:pic>
                    </a:graphicData>
                  </a:graphic>
                </wp:inline>
              </w:drawing>
            </w:r>
          </w:p>
          <w:p w14:paraId="5BC11E85">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式中：L</w:t>
            </w:r>
            <w:r>
              <w:rPr>
                <w:rFonts w:hint="default" w:ascii="Times New Roman" w:hAnsi="Times New Roman" w:eastAsia="宋体" w:cs="Times New Roman"/>
                <w:color w:val="auto"/>
                <w:sz w:val="21"/>
                <w:szCs w:val="24"/>
                <w:highlight w:val="none"/>
                <w:vertAlign w:val="subscript"/>
              </w:rPr>
              <w:t>eqg</w:t>
            </w:r>
            <w:r>
              <w:rPr>
                <w:rFonts w:hint="default" w:ascii="Times New Roman" w:hAnsi="Times New Roman" w:eastAsia="宋体" w:cs="Times New Roman"/>
                <w:color w:val="auto"/>
                <w:sz w:val="21"/>
                <w:szCs w:val="24"/>
                <w:highlight w:val="none"/>
              </w:rPr>
              <w:t>——噪声贡献值，dB；</w:t>
            </w:r>
          </w:p>
          <w:p w14:paraId="2C5F6C90">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T——预测计算的时间段，s；</w:t>
            </w:r>
          </w:p>
          <w:p w14:paraId="2EC41EE8">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t</w:t>
            </w:r>
            <w:r>
              <w:rPr>
                <w:rFonts w:hint="default" w:ascii="Times New Roman" w:hAnsi="Times New Roman" w:eastAsia="宋体" w:cs="Times New Roman"/>
                <w:color w:val="auto"/>
                <w:sz w:val="21"/>
                <w:szCs w:val="24"/>
                <w:highlight w:val="none"/>
                <w:vertAlign w:val="subscript"/>
              </w:rPr>
              <w:t>i</w:t>
            </w:r>
            <w:r>
              <w:rPr>
                <w:rFonts w:hint="default" w:ascii="Times New Roman" w:hAnsi="Times New Roman" w:eastAsia="宋体" w:cs="Times New Roman"/>
                <w:color w:val="auto"/>
                <w:sz w:val="21"/>
                <w:szCs w:val="24"/>
                <w:highlight w:val="none"/>
              </w:rPr>
              <w:t>——i声源在T时段内的运行时间，s；</w:t>
            </w:r>
          </w:p>
          <w:p w14:paraId="11C5C839">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L</w:t>
            </w:r>
            <w:r>
              <w:rPr>
                <w:rFonts w:hint="default" w:ascii="Times New Roman" w:hAnsi="Times New Roman" w:eastAsia="宋体" w:cs="Times New Roman"/>
                <w:color w:val="auto"/>
                <w:sz w:val="21"/>
                <w:szCs w:val="24"/>
                <w:highlight w:val="none"/>
                <w:vertAlign w:val="subscript"/>
              </w:rPr>
              <w:t>Ai</w:t>
            </w:r>
            <w:r>
              <w:rPr>
                <w:rFonts w:hint="default" w:ascii="Times New Roman" w:hAnsi="Times New Roman" w:eastAsia="宋体" w:cs="Times New Roman"/>
                <w:color w:val="auto"/>
                <w:sz w:val="21"/>
                <w:szCs w:val="24"/>
                <w:highlight w:val="none"/>
              </w:rPr>
              <w:t>——i声源在预测点产生的等效连续A声级，dB。</w:t>
            </w:r>
          </w:p>
          <w:p w14:paraId="0D41F570">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2）预测点的贡献值和背景值按能量叠加方法计算得到的声级计算公式：</w:t>
            </w:r>
          </w:p>
          <w:p w14:paraId="770495EA">
            <w:pPr>
              <w:spacing w:line="360" w:lineRule="auto"/>
              <w:ind w:firstLine="420" w:firstLineChars="20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2088515" cy="284480"/>
                  <wp:effectExtent l="0" t="0" r="0" b="4445"/>
                  <wp:docPr id="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pic:cNvPicPr>
                            <a:picLocks noChangeAspect="1"/>
                          </pic:cNvPicPr>
                        </pic:nvPicPr>
                        <pic:blipFill>
                          <a:blip r:embed="rId39"/>
                          <a:stretch>
                            <a:fillRect/>
                          </a:stretch>
                        </pic:blipFill>
                        <pic:spPr>
                          <a:xfrm>
                            <a:off x="0" y="0"/>
                            <a:ext cx="2088515" cy="284480"/>
                          </a:xfrm>
                          <a:prstGeom prst="rect">
                            <a:avLst/>
                          </a:prstGeom>
                          <a:noFill/>
                          <a:ln>
                            <a:noFill/>
                          </a:ln>
                        </pic:spPr>
                      </pic:pic>
                    </a:graphicData>
                  </a:graphic>
                </wp:inline>
              </w:drawing>
            </w:r>
          </w:p>
          <w:p w14:paraId="00D9E575">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式中：L</w:t>
            </w:r>
            <w:r>
              <w:rPr>
                <w:rFonts w:hint="default" w:ascii="Times New Roman" w:hAnsi="Times New Roman" w:eastAsia="宋体" w:cs="Times New Roman"/>
                <w:color w:val="auto"/>
                <w:sz w:val="21"/>
                <w:szCs w:val="24"/>
                <w:highlight w:val="none"/>
                <w:vertAlign w:val="subscript"/>
              </w:rPr>
              <w:t>eq</w:t>
            </w:r>
            <w:r>
              <w:rPr>
                <w:rFonts w:hint="default" w:ascii="Times New Roman" w:hAnsi="Times New Roman" w:eastAsia="宋体" w:cs="Times New Roman"/>
                <w:color w:val="auto"/>
                <w:sz w:val="21"/>
                <w:szCs w:val="24"/>
                <w:highlight w:val="none"/>
              </w:rPr>
              <w:t>——预测点的噪声预测值，dB；</w:t>
            </w:r>
          </w:p>
          <w:p w14:paraId="1B644941">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L</w:t>
            </w:r>
            <w:r>
              <w:rPr>
                <w:rFonts w:hint="default" w:ascii="Times New Roman" w:hAnsi="Times New Roman" w:eastAsia="宋体" w:cs="Times New Roman"/>
                <w:color w:val="auto"/>
                <w:sz w:val="21"/>
                <w:szCs w:val="24"/>
                <w:highlight w:val="none"/>
                <w:vertAlign w:val="subscript"/>
              </w:rPr>
              <w:t>eqg</w:t>
            </w:r>
            <w:r>
              <w:rPr>
                <w:rFonts w:hint="default" w:ascii="Times New Roman" w:hAnsi="Times New Roman" w:eastAsia="宋体" w:cs="Times New Roman"/>
                <w:color w:val="auto"/>
                <w:sz w:val="21"/>
                <w:szCs w:val="24"/>
                <w:highlight w:val="none"/>
              </w:rPr>
              <w:t>——建设项目声源再预测点产生的噪声贡献值，dB。</w:t>
            </w:r>
          </w:p>
          <w:p w14:paraId="3F328F98">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L</w:t>
            </w:r>
            <w:r>
              <w:rPr>
                <w:rFonts w:hint="default" w:ascii="Times New Roman" w:hAnsi="Times New Roman" w:eastAsia="宋体" w:cs="Times New Roman"/>
                <w:color w:val="auto"/>
                <w:sz w:val="21"/>
                <w:szCs w:val="24"/>
                <w:highlight w:val="none"/>
                <w:vertAlign w:val="subscript"/>
              </w:rPr>
              <w:t>eqb</w:t>
            </w:r>
            <w:r>
              <w:rPr>
                <w:rFonts w:hint="default" w:ascii="Times New Roman" w:hAnsi="Times New Roman" w:eastAsia="宋体" w:cs="Times New Roman"/>
                <w:color w:val="auto"/>
                <w:sz w:val="21"/>
                <w:szCs w:val="24"/>
                <w:highlight w:val="none"/>
              </w:rPr>
              <w:t>——预测点的背景噪声值，dB。</w:t>
            </w:r>
          </w:p>
          <w:p w14:paraId="74CF706F">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3）室内声源等效室外声源功率级计算</w:t>
            </w:r>
          </w:p>
          <w:p w14:paraId="3A1264E5">
            <w:pPr>
              <w:spacing w:line="360" w:lineRule="auto"/>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2812415" cy="483235"/>
                  <wp:effectExtent l="0" t="0" r="6985" b="4445"/>
                  <wp:docPr id="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
                          <pic:cNvPicPr>
                            <a:picLocks noChangeAspect="1"/>
                          </pic:cNvPicPr>
                        </pic:nvPicPr>
                        <pic:blipFill>
                          <a:blip r:embed="rId40"/>
                          <a:stretch>
                            <a:fillRect/>
                          </a:stretch>
                        </pic:blipFill>
                        <pic:spPr>
                          <a:xfrm>
                            <a:off x="0" y="0"/>
                            <a:ext cx="2812415" cy="483235"/>
                          </a:xfrm>
                          <a:prstGeom prst="rect">
                            <a:avLst/>
                          </a:prstGeom>
                          <a:noFill/>
                          <a:ln>
                            <a:noFill/>
                          </a:ln>
                        </pic:spPr>
                      </pic:pic>
                    </a:graphicData>
                  </a:graphic>
                </wp:inline>
              </w:drawing>
            </w:r>
          </w:p>
          <w:p w14:paraId="058B38FD">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式中：L</w:t>
            </w:r>
            <w:r>
              <w:rPr>
                <w:rFonts w:hint="default" w:ascii="Times New Roman" w:hAnsi="Times New Roman" w:eastAsia="宋体" w:cs="Times New Roman"/>
                <w:color w:val="auto"/>
                <w:sz w:val="21"/>
                <w:szCs w:val="24"/>
                <w:highlight w:val="none"/>
                <w:vertAlign w:val="subscript"/>
              </w:rPr>
              <w:t>p1</w:t>
            </w:r>
            <w:r>
              <w:rPr>
                <w:rFonts w:hint="default" w:ascii="Times New Roman" w:hAnsi="Times New Roman" w:eastAsia="宋体" w:cs="Times New Roman"/>
                <w:color w:val="auto"/>
                <w:sz w:val="21"/>
                <w:szCs w:val="24"/>
                <w:highlight w:val="none"/>
              </w:rPr>
              <w:t>—靠近开口处（或窗户）室内某倍频带的声压级或A声级，dB；</w:t>
            </w:r>
          </w:p>
          <w:p w14:paraId="66EFFCBA">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L</w:t>
            </w:r>
            <w:r>
              <w:rPr>
                <w:rFonts w:hint="default" w:ascii="Times New Roman" w:hAnsi="Times New Roman" w:eastAsia="宋体" w:cs="Times New Roman"/>
                <w:color w:val="auto"/>
                <w:sz w:val="21"/>
                <w:szCs w:val="24"/>
                <w:highlight w:val="none"/>
                <w:vertAlign w:val="subscript"/>
              </w:rPr>
              <w:t>p2</w:t>
            </w:r>
            <w:r>
              <w:rPr>
                <w:rFonts w:hint="default" w:ascii="Times New Roman" w:hAnsi="Times New Roman" w:eastAsia="宋体" w:cs="Times New Roman"/>
                <w:color w:val="auto"/>
                <w:sz w:val="21"/>
                <w:szCs w:val="24"/>
                <w:highlight w:val="none"/>
              </w:rPr>
              <w:t>——靠近开口处（或窗户）室外某倍频带的声压级或A声级，dB；</w:t>
            </w:r>
          </w:p>
          <w:p w14:paraId="410C1BDB">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TL——隔墙（或窗户）倍频带或 A 声级的隔声量，dB。</w:t>
            </w:r>
          </w:p>
          <w:p w14:paraId="1CEF6CC3">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然后计算出所有室内声源在围护结构处产生的i倍频带叠加声压级：</w:t>
            </w:r>
          </w:p>
          <w:p w14:paraId="7080989A">
            <w:pPr>
              <w:spacing w:line="360" w:lineRule="auto"/>
              <w:ind w:firstLine="420" w:firstLineChars="20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3019425" cy="690245"/>
                  <wp:effectExtent l="0" t="0" r="13335" b="10795"/>
                  <wp:docPr id="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
                          <pic:cNvPicPr>
                            <a:picLocks noChangeAspect="1"/>
                          </pic:cNvPicPr>
                        </pic:nvPicPr>
                        <pic:blipFill>
                          <a:blip r:embed="rId41"/>
                          <a:stretch>
                            <a:fillRect/>
                          </a:stretch>
                        </pic:blipFill>
                        <pic:spPr>
                          <a:xfrm>
                            <a:off x="0" y="0"/>
                            <a:ext cx="3019425" cy="690245"/>
                          </a:xfrm>
                          <a:prstGeom prst="rect">
                            <a:avLst/>
                          </a:prstGeom>
                          <a:noFill/>
                          <a:ln>
                            <a:noFill/>
                          </a:ln>
                        </pic:spPr>
                      </pic:pic>
                    </a:graphicData>
                  </a:graphic>
                </wp:inline>
              </w:drawing>
            </w:r>
          </w:p>
          <w:p w14:paraId="7C0D5658">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式中：L</w:t>
            </w:r>
            <w:r>
              <w:rPr>
                <w:rFonts w:hint="default" w:ascii="Times New Roman" w:hAnsi="Times New Roman" w:eastAsia="宋体" w:cs="Times New Roman"/>
                <w:color w:val="auto"/>
                <w:sz w:val="21"/>
                <w:szCs w:val="24"/>
                <w:highlight w:val="none"/>
                <w:vertAlign w:val="subscript"/>
              </w:rPr>
              <w:t>p1i</w:t>
            </w:r>
            <w:r>
              <w:rPr>
                <w:rFonts w:hint="default" w:ascii="Times New Roman" w:hAnsi="Times New Roman" w:eastAsia="宋体" w:cs="Times New Roman"/>
                <w:color w:val="auto"/>
                <w:sz w:val="21"/>
                <w:szCs w:val="24"/>
                <w:highlight w:val="none"/>
              </w:rPr>
              <w:t>（T）—靠近围护结构处室内N个声源i倍频带的叠加声压级，dB；</w:t>
            </w:r>
          </w:p>
          <w:p w14:paraId="41B7503C">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L</w:t>
            </w:r>
            <w:r>
              <w:rPr>
                <w:rFonts w:hint="default" w:ascii="Times New Roman" w:hAnsi="Times New Roman" w:eastAsia="宋体" w:cs="Times New Roman"/>
                <w:color w:val="auto"/>
                <w:sz w:val="21"/>
                <w:szCs w:val="24"/>
                <w:highlight w:val="none"/>
                <w:vertAlign w:val="subscript"/>
              </w:rPr>
              <w:t>p1ij</w:t>
            </w:r>
            <w:r>
              <w:rPr>
                <w:rFonts w:hint="default" w:ascii="Times New Roman" w:hAnsi="Times New Roman" w:eastAsia="宋体" w:cs="Times New Roman"/>
                <w:color w:val="auto"/>
                <w:sz w:val="21"/>
                <w:szCs w:val="24"/>
                <w:highlight w:val="none"/>
              </w:rPr>
              <w:t>—室内j声源i倍频带的声压级，dB；</w:t>
            </w:r>
          </w:p>
          <w:p w14:paraId="383CC862">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N—室内声源总数。</w:t>
            </w:r>
          </w:p>
          <w:p w14:paraId="2158DDD4">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在室内近似为扩散声场时，计算出靠近室外围护结构处的声压级：</w:t>
            </w:r>
          </w:p>
          <w:p w14:paraId="424E94CE">
            <w:pPr>
              <w:spacing w:line="360" w:lineRule="auto"/>
              <w:ind w:firstLine="420" w:firstLineChars="200"/>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2915920" cy="336550"/>
                  <wp:effectExtent l="0" t="0" r="10160" b="13970"/>
                  <wp:docPr id="4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
                          <pic:cNvPicPr>
                            <a:picLocks noChangeAspect="1"/>
                          </pic:cNvPicPr>
                        </pic:nvPicPr>
                        <pic:blipFill>
                          <a:blip r:embed="rId42"/>
                          <a:stretch>
                            <a:fillRect/>
                          </a:stretch>
                        </pic:blipFill>
                        <pic:spPr>
                          <a:xfrm>
                            <a:off x="0" y="0"/>
                            <a:ext cx="2915920" cy="336550"/>
                          </a:xfrm>
                          <a:prstGeom prst="rect">
                            <a:avLst/>
                          </a:prstGeom>
                          <a:noFill/>
                          <a:ln>
                            <a:noFill/>
                          </a:ln>
                        </pic:spPr>
                      </pic:pic>
                    </a:graphicData>
                  </a:graphic>
                </wp:inline>
              </w:drawing>
            </w:r>
          </w:p>
          <w:p w14:paraId="18B9F9AF">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式中：L</w:t>
            </w:r>
            <w:r>
              <w:rPr>
                <w:rFonts w:hint="default" w:ascii="Times New Roman" w:hAnsi="Times New Roman" w:eastAsia="宋体" w:cs="Times New Roman"/>
                <w:color w:val="auto"/>
                <w:sz w:val="21"/>
                <w:szCs w:val="24"/>
                <w:highlight w:val="none"/>
                <w:vertAlign w:val="subscript"/>
              </w:rPr>
              <w:t>2pi</w:t>
            </w:r>
            <w:r>
              <w:rPr>
                <w:rFonts w:hint="default" w:ascii="Times New Roman" w:hAnsi="Times New Roman" w:eastAsia="宋体" w:cs="Times New Roman"/>
                <w:color w:val="auto"/>
                <w:sz w:val="21"/>
                <w:szCs w:val="24"/>
                <w:highlight w:val="none"/>
              </w:rPr>
              <w:t>（T）—靠近围护结构处室外N个声源i倍频带的叠加声压级，dB；</w:t>
            </w:r>
          </w:p>
          <w:p w14:paraId="7B431010">
            <w:pPr>
              <w:spacing w:line="360" w:lineRule="auto"/>
              <w:ind w:firstLine="945" w:firstLineChars="45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TL</w:t>
            </w:r>
            <w:r>
              <w:rPr>
                <w:rFonts w:hint="default" w:ascii="Times New Roman" w:hAnsi="Times New Roman" w:eastAsia="宋体" w:cs="Times New Roman"/>
                <w:color w:val="auto"/>
                <w:sz w:val="21"/>
                <w:szCs w:val="24"/>
                <w:highlight w:val="none"/>
                <w:vertAlign w:val="subscript"/>
              </w:rPr>
              <w:t>i</w:t>
            </w:r>
            <w:r>
              <w:rPr>
                <w:rFonts w:hint="default" w:ascii="Times New Roman" w:hAnsi="Times New Roman" w:eastAsia="宋体" w:cs="Times New Roman"/>
                <w:color w:val="auto"/>
                <w:sz w:val="21"/>
                <w:szCs w:val="24"/>
                <w:highlight w:val="none"/>
              </w:rPr>
              <w:t>—围护结构i倍频带的隔声量，dB。</w:t>
            </w:r>
          </w:p>
          <w:p w14:paraId="50AD4CAE">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然后将室外声源的声压级和透过面积换算成等效的室外声源，计算出中心位置位于透声面积（S）处的等效声源的倍频带声功率级。</w:t>
            </w:r>
          </w:p>
          <w:p w14:paraId="45EC8175">
            <w:pPr>
              <w:spacing w:line="360" w:lineRule="auto"/>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2122170" cy="293370"/>
                  <wp:effectExtent l="0" t="0" r="11430" b="11430"/>
                  <wp:docPr id="5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6"/>
                          <pic:cNvPicPr>
                            <a:picLocks noChangeAspect="1"/>
                          </pic:cNvPicPr>
                        </pic:nvPicPr>
                        <pic:blipFill>
                          <a:blip r:embed="rId43"/>
                          <a:stretch>
                            <a:fillRect/>
                          </a:stretch>
                        </pic:blipFill>
                        <pic:spPr>
                          <a:xfrm>
                            <a:off x="0" y="0"/>
                            <a:ext cx="2122170" cy="293370"/>
                          </a:xfrm>
                          <a:prstGeom prst="rect">
                            <a:avLst/>
                          </a:prstGeom>
                          <a:noFill/>
                          <a:ln>
                            <a:noFill/>
                          </a:ln>
                        </pic:spPr>
                      </pic:pic>
                    </a:graphicData>
                  </a:graphic>
                </wp:inline>
              </w:drawing>
            </w:r>
          </w:p>
          <w:p w14:paraId="4BFD3581">
            <w:pPr>
              <w:spacing w:line="360" w:lineRule="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式中：L</w:t>
            </w:r>
            <w:r>
              <w:rPr>
                <w:rFonts w:hint="default" w:ascii="Times New Roman" w:hAnsi="Times New Roman" w:eastAsia="宋体" w:cs="Times New Roman"/>
                <w:color w:val="auto"/>
                <w:sz w:val="21"/>
                <w:szCs w:val="24"/>
                <w:highlight w:val="none"/>
                <w:vertAlign w:val="subscript"/>
              </w:rPr>
              <w:t>w</w:t>
            </w:r>
            <w:r>
              <w:rPr>
                <w:rFonts w:hint="default" w:ascii="Times New Roman" w:hAnsi="Times New Roman" w:eastAsia="宋体" w:cs="Times New Roman"/>
                <w:color w:val="auto"/>
                <w:sz w:val="21"/>
                <w:szCs w:val="24"/>
                <w:highlight w:val="none"/>
              </w:rPr>
              <w:t>—中心位置位于透声面积（S）处的等效声源的倍频带声功率级，dB；</w:t>
            </w:r>
          </w:p>
          <w:p w14:paraId="2F59F3BE">
            <w:pPr>
              <w:spacing w:line="360" w:lineRule="auto"/>
              <w:ind w:firstLine="630" w:firstLineChars="3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L</w:t>
            </w:r>
            <w:r>
              <w:rPr>
                <w:rFonts w:hint="default" w:ascii="Times New Roman" w:hAnsi="Times New Roman" w:eastAsia="宋体" w:cs="Times New Roman"/>
                <w:color w:val="auto"/>
                <w:sz w:val="21"/>
                <w:szCs w:val="24"/>
                <w:highlight w:val="none"/>
                <w:vertAlign w:val="subscript"/>
              </w:rPr>
              <w:t>p2</w:t>
            </w:r>
            <w:r>
              <w:rPr>
                <w:rFonts w:hint="default" w:ascii="Times New Roman" w:hAnsi="Times New Roman" w:eastAsia="宋体" w:cs="Times New Roman"/>
                <w:color w:val="auto"/>
                <w:sz w:val="21"/>
                <w:szCs w:val="24"/>
                <w:highlight w:val="none"/>
              </w:rPr>
              <w:t>（T）—靠近围护结构处室外声源的声压级，dB；</w:t>
            </w:r>
          </w:p>
          <w:p w14:paraId="2E0FC954">
            <w:pPr>
              <w:spacing w:line="360" w:lineRule="auto"/>
              <w:ind w:firstLine="630" w:firstLineChars="3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S—透声面积，m</w:t>
            </w:r>
            <w:r>
              <w:rPr>
                <w:rFonts w:hint="default" w:ascii="Times New Roman" w:hAnsi="Times New Roman" w:eastAsia="宋体" w:cs="Times New Roman"/>
                <w:color w:val="auto"/>
                <w:sz w:val="21"/>
                <w:szCs w:val="24"/>
                <w:highlight w:val="none"/>
                <w:vertAlign w:val="superscript"/>
              </w:rPr>
              <w:t>2</w:t>
            </w:r>
            <w:r>
              <w:rPr>
                <w:rFonts w:hint="default" w:ascii="Times New Roman" w:hAnsi="Times New Roman" w:eastAsia="宋体" w:cs="Times New Roman"/>
                <w:color w:val="auto"/>
                <w:sz w:val="21"/>
                <w:szCs w:val="24"/>
                <w:highlight w:val="none"/>
              </w:rPr>
              <w:t>。</w:t>
            </w:r>
          </w:p>
          <w:p w14:paraId="26EB2700">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4）户外声传播衰减计算</w:t>
            </w:r>
          </w:p>
          <w:p w14:paraId="4A5D8296">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户外声传播衰减包括几何发散（A</w:t>
            </w:r>
            <w:r>
              <w:rPr>
                <w:rFonts w:hint="default" w:ascii="Times New Roman" w:hAnsi="Times New Roman" w:eastAsia="宋体" w:cs="Times New Roman"/>
                <w:color w:val="auto"/>
                <w:sz w:val="21"/>
                <w:szCs w:val="24"/>
                <w:highlight w:val="none"/>
                <w:vertAlign w:val="subscript"/>
              </w:rPr>
              <w:t>div</w:t>
            </w:r>
            <w:r>
              <w:rPr>
                <w:rFonts w:hint="default" w:ascii="Times New Roman" w:hAnsi="Times New Roman" w:eastAsia="宋体" w:cs="Times New Roman"/>
                <w:color w:val="auto"/>
                <w:sz w:val="21"/>
                <w:szCs w:val="24"/>
                <w:highlight w:val="none"/>
              </w:rPr>
              <w:t>）、大气吸收（A</w:t>
            </w:r>
            <w:r>
              <w:rPr>
                <w:rFonts w:hint="default" w:ascii="Times New Roman" w:hAnsi="Times New Roman" w:eastAsia="宋体" w:cs="Times New Roman"/>
                <w:color w:val="auto"/>
                <w:sz w:val="21"/>
                <w:szCs w:val="24"/>
                <w:highlight w:val="none"/>
                <w:vertAlign w:val="subscript"/>
              </w:rPr>
              <w:t>atm</w:t>
            </w:r>
            <w:r>
              <w:rPr>
                <w:rFonts w:hint="default" w:ascii="Times New Roman" w:hAnsi="Times New Roman" w:eastAsia="宋体" w:cs="Times New Roman"/>
                <w:color w:val="auto"/>
                <w:sz w:val="21"/>
                <w:szCs w:val="24"/>
                <w:highlight w:val="none"/>
              </w:rPr>
              <w:t>）、地面效应（A</w:t>
            </w:r>
            <w:r>
              <w:rPr>
                <w:rFonts w:hint="default" w:ascii="Times New Roman" w:hAnsi="Times New Roman" w:eastAsia="宋体" w:cs="Times New Roman"/>
                <w:color w:val="auto"/>
                <w:sz w:val="21"/>
                <w:szCs w:val="24"/>
                <w:highlight w:val="none"/>
                <w:vertAlign w:val="subscript"/>
              </w:rPr>
              <w:t>gr</w:t>
            </w:r>
            <w:r>
              <w:rPr>
                <w:rFonts w:hint="default" w:ascii="Times New Roman" w:hAnsi="Times New Roman" w:eastAsia="宋体" w:cs="Times New Roman"/>
                <w:color w:val="auto"/>
                <w:sz w:val="21"/>
                <w:szCs w:val="24"/>
                <w:highlight w:val="none"/>
              </w:rPr>
              <w:t>）、屏障屏蔽（A</w:t>
            </w:r>
            <w:r>
              <w:rPr>
                <w:rFonts w:hint="default" w:ascii="Times New Roman" w:hAnsi="Times New Roman" w:eastAsia="宋体" w:cs="Times New Roman"/>
                <w:color w:val="auto"/>
                <w:sz w:val="21"/>
                <w:szCs w:val="24"/>
                <w:highlight w:val="none"/>
                <w:vertAlign w:val="subscript"/>
              </w:rPr>
              <w:t>bar</w:t>
            </w:r>
            <w:r>
              <w:rPr>
                <w:rFonts w:hint="default" w:ascii="Times New Roman" w:hAnsi="Times New Roman" w:eastAsia="宋体" w:cs="Times New Roman"/>
                <w:color w:val="auto"/>
                <w:sz w:val="21"/>
                <w:szCs w:val="24"/>
                <w:highlight w:val="none"/>
              </w:rPr>
              <w:t>）、其他多方面效应（A</w:t>
            </w:r>
            <w:r>
              <w:rPr>
                <w:rFonts w:hint="default" w:ascii="Times New Roman" w:hAnsi="Times New Roman" w:eastAsia="宋体" w:cs="Times New Roman"/>
                <w:color w:val="auto"/>
                <w:sz w:val="21"/>
                <w:szCs w:val="24"/>
                <w:highlight w:val="none"/>
                <w:vertAlign w:val="subscript"/>
              </w:rPr>
              <w:t>misc</w:t>
            </w:r>
            <w:r>
              <w:rPr>
                <w:rFonts w:hint="default" w:ascii="Times New Roman" w:hAnsi="Times New Roman" w:eastAsia="宋体" w:cs="Times New Roman"/>
                <w:color w:val="auto"/>
                <w:sz w:val="21"/>
                <w:szCs w:val="24"/>
                <w:highlight w:val="none"/>
              </w:rPr>
              <w:t>）引起的衰减。</w:t>
            </w:r>
          </w:p>
          <w:p w14:paraId="70E9CBD0">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距声源点r处的A声级按下式计算：</w:t>
            </w:r>
          </w:p>
          <w:p w14:paraId="4FB0B29E">
            <w:pPr>
              <w:spacing w:line="360" w:lineRule="auto"/>
              <w:jc w:val="center"/>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3924935" cy="336550"/>
                  <wp:effectExtent l="0" t="0" r="6985" b="13970"/>
                  <wp:docPr id="4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7"/>
                          <pic:cNvPicPr>
                            <a:picLocks noChangeAspect="1"/>
                          </pic:cNvPicPr>
                        </pic:nvPicPr>
                        <pic:blipFill>
                          <a:blip r:embed="rId44"/>
                          <a:stretch>
                            <a:fillRect/>
                          </a:stretch>
                        </pic:blipFill>
                        <pic:spPr>
                          <a:xfrm>
                            <a:off x="0" y="0"/>
                            <a:ext cx="3924935" cy="336550"/>
                          </a:xfrm>
                          <a:prstGeom prst="rect">
                            <a:avLst/>
                          </a:prstGeom>
                          <a:noFill/>
                          <a:ln>
                            <a:noFill/>
                          </a:ln>
                        </pic:spPr>
                      </pic:pic>
                    </a:graphicData>
                  </a:graphic>
                </wp:inline>
              </w:drawing>
            </w:r>
          </w:p>
          <w:p w14:paraId="24DEE6DB">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5）拟建工程声源对预测点产生的贡献值计算</w:t>
            </w:r>
          </w:p>
          <w:p w14:paraId="53F8605D">
            <w:pPr>
              <w:autoSpaceDE w:val="0"/>
              <w:autoSpaceDN w:val="0"/>
              <w:spacing w:line="360" w:lineRule="auto"/>
              <w:ind w:firstLine="1050" w:firstLineChars="500"/>
              <w:contextualSpacing/>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drawing>
                <wp:inline distT="0" distB="0" distL="114300" distR="114300">
                  <wp:extent cx="3336290" cy="727075"/>
                  <wp:effectExtent l="0" t="0" r="1270" b="4445"/>
                  <wp:docPr id="4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8"/>
                          <pic:cNvPicPr>
                            <a:picLocks noChangeAspect="1"/>
                          </pic:cNvPicPr>
                        </pic:nvPicPr>
                        <pic:blipFill>
                          <a:blip r:embed="rId45"/>
                          <a:stretch>
                            <a:fillRect/>
                          </a:stretch>
                        </pic:blipFill>
                        <pic:spPr>
                          <a:xfrm>
                            <a:off x="0" y="0"/>
                            <a:ext cx="3336290" cy="727075"/>
                          </a:xfrm>
                          <a:prstGeom prst="rect">
                            <a:avLst/>
                          </a:prstGeom>
                          <a:noFill/>
                          <a:ln>
                            <a:noFill/>
                          </a:ln>
                        </pic:spPr>
                      </pic:pic>
                    </a:graphicData>
                  </a:graphic>
                </wp:inline>
              </w:drawing>
            </w:r>
          </w:p>
          <w:p w14:paraId="7530751E">
            <w:pPr>
              <w:spacing w:line="360" w:lineRule="auto"/>
              <w:ind w:firstLine="420" w:firstLineChars="2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式中：L</w:t>
            </w:r>
            <w:r>
              <w:rPr>
                <w:rFonts w:hint="default" w:ascii="Times New Roman" w:hAnsi="Times New Roman" w:eastAsia="宋体" w:cs="Times New Roman"/>
                <w:color w:val="auto"/>
                <w:sz w:val="21"/>
                <w:szCs w:val="24"/>
                <w:highlight w:val="none"/>
                <w:vertAlign w:val="subscript"/>
              </w:rPr>
              <w:t>eqg</w:t>
            </w:r>
            <w:r>
              <w:rPr>
                <w:rFonts w:hint="default" w:ascii="Times New Roman" w:hAnsi="Times New Roman" w:eastAsia="宋体" w:cs="Times New Roman"/>
                <w:color w:val="auto"/>
                <w:sz w:val="21"/>
                <w:szCs w:val="24"/>
                <w:highlight w:val="none"/>
              </w:rPr>
              <w:t>—建设项目声源再预测点产生的噪声贡献值，dB；</w:t>
            </w:r>
          </w:p>
          <w:p w14:paraId="63715BE4">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T—用于计算等效升级的时间，s；</w:t>
            </w:r>
          </w:p>
          <w:p w14:paraId="71BB93C2">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N—室外声源个数；</w:t>
            </w:r>
          </w:p>
          <w:p w14:paraId="2AEF25E2">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t</w:t>
            </w:r>
            <w:r>
              <w:rPr>
                <w:rFonts w:hint="default" w:ascii="Times New Roman" w:hAnsi="Times New Roman" w:eastAsia="宋体" w:cs="Times New Roman"/>
                <w:color w:val="auto"/>
                <w:sz w:val="21"/>
                <w:szCs w:val="24"/>
                <w:highlight w:val="none"/>
                <w:vertAlign w:val="subscript"/>
              </w:rPr>
              <w:t>i</w:t>
            </w:r>
            <w:r>
              <w:rPr>
                <w:rFonts w:hint="default" w:ascii="Times New Roman" w:hAnsi="Times New Roman" w:eastAsia="宋体" w:cs="Times New Roman"/>
                <w:color w:val="auto"/>
                <w:sz w:val="21"/>
                <w:szCs w:val="24"/>
                <w:highlight w:val="none"/>
              </w:rPr>
              <w:t>—在T时间内i声源工作时间，s；</w:t>
            </w:r>
          </w:p>
          <w:p w14:paraId="2DF6A31D">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M—等效室外声源个数；</w:t>
            </w:r>
          </w:p>
          <w:p w14:paraId="14940C95">
            <w:pPr>
              <w:spacing w:line="360" w:lineRule="auto"/>
              <w:ind w:firstLine="1050" w:firstLineChars="500"/>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t</w:t>
            </w:r>
            <w:r>
              <w:rPr>
                <w:rFonts w:hint="default" w:ascii="Times New Roman" w:hAnsi="Times New Roman" w:eastAsia="宋体" w:cs="Times New Roman"/>
                <w:color w:val="auto"/>
                <w:sz w:val="21"/>
                <w:szCs w:val="24"/>
                <w:highlight w:val="none"/>
                <w:vertAlign w:val="subscript"/>
              </w:rPr>
              <w:t>j</w:t>
            </w:r>
            <w:r>
              <w:rPr>
                <w:rFonts w:hint="default" w:ascii="Times New Roman" w:hAnsi="Times New Roman" w:eastAsia="宋体" w:cs="Times New Roman"/>
                <w:color w:val="auto"/>
                <w:sz w:val="21"/>
                <w:szCs w:val="24"/>
                <w:highlight w:val="none"/>
              </w:rPr>
              <w:t>—在T时间内j声源工作时间，s。</w:t>
            </w:r>
          </w:p>
          <w:p w14:paraId="7B339E2A">
            <w:pPr>
              <w:pStyle w:val="135"/>
              <w:spacing w:after="0" w:line="360" w:lineRule="auto"/>
              <w:contextualSpacing/>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6）预测结果</w:t>
            </w:r>
          </w:p>
          <w:p w14:paraId="31FFD45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b w:val="0"/>
                <w:bCs w:val="0"/>
                <w:color w:val="auto"/>
                <w:sz w:val="21"/>
                <w:szCs w:val="24"/>
                <w:highlight w:val="none"/>
              </w:rPr>
            </w:pPr>
            <w:r>
              <w:rPr>
                <w:rFonts w:hint="default" w:ascii="Times New Roman" w:hAnsi="Times New Roman" w:eastAsia="宋体" w:cs="Times New Roman"/>
                <w:b w:val="0"/>
                <w:bCs w:val="0"/>
                <w:color w:val="auto"/>
                <w:sz w:val="21"/>
                <w:szCs w:val="24"/>
                <w:highlight w:val="none"/>
              </w:rPr>
              <w:t>根据项目的设备声级、所在位置，利用噪声预测模式和方法，对厂界噪声</w:t>
            </w:r>
            <w:r>
              <w:rPr>
                <w:rFonts w:hint="default" w:ascii="Times New Roman" w:hAnsi="Times New Roman" w:eastAsia="宋体" w:cs="Times New Roman"/>
                <w:b w:val="0"/>
                <w:bCs w:val="0"/>
                <w:color w:val="auto"/>
                <w:sz w:val="21"/>
                <w:szCs w:val="24"/>
                <w:highlight w:val="none"/>
                <w:lang w:val="en-US" w:eastAsia="zh-CN"/>
              </w:rPr>
              <w:t>和敏感点</w:t>
            </w:r>
            <w:r>
              <w:rPr>
                <w:rFonts w:hint="default" w:ascii="Times New Roman" w:hAnsi="Times New Roman" w:eastAsia="宋体" w:cs="Times New Roman"/>
                <w:b w:val="0"/>
                <w:bCs w:val="0"/>
                <w:color w:val="auto"/>
                <w:sz w:val="21"/>
                <w:szCs w:val="24"/>
                <w:highlight w:val="none"/>
              </w:rPr>
              <w:t>进行预测计算，得到项目</w:t>
            </w:r>
            <w:r>
              <w:rPr>
                <w:rFonts w:hint="default" w:ascii="Times New Roman" w:hAnsi="Times New Roman" w:eastAsia="宋体" w:cs="宋体"/>
                <w:b w:val="0"/>
                <w:bCs w:val="0"/>
                <w:color w:val="auto"/>
                <w:kern w:val="18"/>
                <w:sz w:val="21"/>
                <w:szCs w:val="21"/>
                <w:highlight w:val="none"/>
                <w:lang w:val="en-US" w:eastAsia="zh-CN"/>
              </w:rPr>
              <w:t>建成</w:t>
            </w:r>
            <w:r>
              <w:rPr>
                <w:rFonts w:hint="default" w:ascii="Times New Roman" w:hAnsi="Times New Roman" w:eastAsia="宋体" w:cs="Times New Roman"/>
                <w:b w:val="0"/>
                <w:bCs w:val="0"/>
                <w:color w:val="auto"/>
                <w:sz w:val="21"/>
                <w:szCs w:val="24"/>
                <w:highlight w:val="none"/>
              </w:rPr>
              <w:t>后各预测点的噪声级，噪声影响预测结果见下表。</w:t>
            </w:r>
          </w:p>
          <w:p w14:paraId="5DEF15FA">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b w:val="0"/>
                <w:bCs w:val="0"/>
                <w:color w:val="auto"/>
                <w:sz w:val="21"/>
                <w:szCs w:val="24"/>
                <w:highlight w:val="none"/>
              </w:rPr>
            </w:pPr>
          </w:p>
          <w:p w14:paraId="1CFCFCD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b w:val="0"/>
                <w:bCs w:val="0"/>
                <w:color w:val="auto"/>
                <w:sz w:val="21"/>
                <w:szCs w:val="24"/>
                <w:highlight w:val="none"/>
              </w:rPr>
            </w:pPr>
          </w:p>
          <w:p w14:paraId="7423019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b w:val="0"/>
                <w:bCs w:val="0"/>
                <w:color w:val="auto"/>
                <w:sz w:val="21"/>
                <w:szCs w:val="24"/>
                <w:highlight w:val="none"/>
              </w:rPr>
            </w:pPr>
          </w:p>
          <w:p w14:paraId="16554D7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b w:val="0"/>
                <w:bCs w:val="0"/>
                <w:color w:val="auto"/>
                <w:sz w:val="21"/>
                <w:szCs w:val="24"/>
                <w:highlight w:val="none"/>
              </w:rPr>
            </w:pPr>
          </w:p>
          <w:p w14:paraId="2702314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default" w:ascii="Times New Roman" w:hAnsi="Times New Roman" w:eastAsia="宋体" w:cs="Times New Roman"/>
                <w:b w:val="0"/>
                <w:bCs w:val="0"/>
                <w:color w:val="auto"/>
                <w:sz w:val="21"/>
                <w:szCs w:val="24"/>
                <w:highlight w:val="none"/>
              </w:rPr>
            </w:pPr>
          </w:p>
          <w:p w14:paraId="30E95C3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宋体"/>
                <w:b/>
                <w:bCs w:val="0"/>
                <w:color w:val="auto"/>
                <w:kern w:val="18"/>
                <w:sz w:val="21"/>
                <w:szCs w:val="21"/>
                <w:highlight w:val="none"/>
                <w:lang w:val="en-US" w:eastAsia="zh-CN"/>
              </w:rPr>
            </w:pPr>
            <w:r>
              <w:rPr>
                <w:rFonts w:hint="default" w:ascii="Times New Roman" w:hAnsi="Times New Roman" w:eastAsia="宋体" w:cs="宋体"/>
                <w:b/>
                <w:bCs w:val="0"/>
                <w:color w:val="auto"/>
                <w:kern w:val="18"/>
                <w:sz w:val="21"/>
                <w:szCs w:val="21"/>
                <w:highlight w:val="none"/>
                <w:lang w:val="en-US" w:eastAsia="zh-CN"/>
              </w:rPr>
              <w:t>表4-</w:t>
            </w:r>
            <w:r>
              <w:rPr>
                <w:rFonts w:hint="eastAsia" w:cs="宋体"/>
                <w:b/>
                <w:bCs w:val="0"/>
                <w:color w:val="auto"/>
                <w:kern w:val="18"/>
                <w:sz w:val="21"/>
                <w:szCs w:val="21"/>
                <w:highlight w:val="none"/>
                <w:lang w:val="en-US" w:eastAsia="zh-CN"/>
              </w:rPr>
              <w:t>9</w:t>
            </w:r>
            <w:r>
              <w:rPr>
                <w:rFonts w:hint="default" w:ascii="Times New Roman" w:hAnsi="Times New Roman" w:eastAsia="宋体" w:cs="宋体"/>
                <w:b/>
                <w:bCs w:val="0"/>
                <w:color w:val="auto"/>
                <w:kern w:val="18"/>
                <w:sz w:val="21"/>
                <w:szCs w:val="21"/>
                <w:highlight w:val="none"/>
                <w:lang w:val="en-US" w:eastAsia="zh-CN"/>
              </w:rPr>
              <w:t xml:space="preserve"> 噪声预测结果      单位：dB（A）</w:t>
            </w:r>
          </w:p>
          <w:tbl>
            <w:tblPr>
              <w:tblStyle w:val="42"/>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08"/>
              <w:gridCol w:w="1396"/>
              <w:gridCol w:w="1568"/>
              <w:gridCol w:w="1568"/>
              <w:gridCol w:w="1569"/>
            </w:tblGrid>
            <w:tr w14:paraId="7BE72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372" w:type="pct"/>
                  <w:tcBorders>
                    <w:tl2br w:val="nil"/>
                    <w:tr2bl w:val="nil"/>
                  </w:tcBorders>
                  <w:noWrap w:val="0"/>
                  <w:vAlign w:val="center"/>
                </w:tcPr>
                <w:p w14:paraId="66281ACB">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预测点位</w:t>
                  </w:r>
                </w:p>
              </w:tc>
              <w:tc>
                <w:tcPr>
                  <w:tcW w:w="830" w:type="pct"/>
                  <w:tcBorders>
                    <w:tl2br w:val="nil"/>
                    <w:tr2bl w:val="nil"/>
                  </w:tcBorders>
                  <w:noWrap w:val="0"/>
                  <w:vAlign w:val="center"/>
                </w:tcPr>
                <w:p w14:paraId="69956899">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预测时段</w:t>
                  </w:r>
                </w:p>
              </w:tc>
              <w:tc>
                <w:tcPr>
                  <w:tcW w:w="932" w:type="pct"/>
                  <w:tcBorders>
                    <w:tl2br w:val="nil"/>
                    <w:tr2bl w:val="nil"/>
                  </w:tcBorders>
                  <w:noWrap w:val="0"/>
                  <w:vAlign w:val="center"/>
                </w:tcPr>
                <w:p w14:paraId="6ABE12E4">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现状值</w:t>
                  </w:r>
                </w:p>
              </w:tc>
              <w:tc>
                <w:tcPr>
                  <w:tcW w:w="932" w:type="pct"/>
                  <w:tcBorders>
                    <w:tl2br w:val="nil"/>
                    <w:tr2bl w:val="nil"/>
                  </w:tcBorders>
                  <w:noWrap w:val="0"/>
                  <w:vAlign w:val="center"/>
                </w:tcPr>
                <w:p w14:paraId="43FC6920">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贡献值</w:t>
                  </w:r>
                </w:p>
              </w:tc>
              <w:tc>
                <w:tcPr>
                  <w:tcW w:w="932" w:type="pct"/>
                  <w:tcBorders>
                    <w:tl2br w:val="nil"/>
                    <w:tr2bl w:val="nil"/>
                  </w:tcBorders>
                  <w:noWrap w:val="0"/>
                  <w:vAlign w:val="center"/>
                </w:tcPr>
                <w:p w14:paraId="1EA1456F">
                  <w:pPr>
                    <w:contextualSpacing/>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预测值</w:t>
                  </w:r>
                </w:p>
              </w:tc>
            </w:tr>
            <w:tr w14:paraId="0E7E51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372" w:type="pct"/>
                  <w:vMerge w:val="restart"/>
                  <w:tcBorders>
                    <w:tl2br w:val="nil"/>
                    <w:tr2bl w:val="nil"/>
                  </w:tcBorders>
                  <w:noWrap w:val="0"/>
                  <w:vAlign w:val="center"/>
                </w:tcPr>
                <w:p w14:paraId="6B28A2C6">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东侧厂界</w:t>
                  </w:r>
                </w:p>
              </w:tc>
              <w:tc>
                <w:tcPr>
                  <w:tcW w:w="830" w:type="pct"/>
                  <w:tcBorders>
                    <w:tl2br w:val="nil"/>
                    <w:tr2bl w:val="nil"/>
                  </w:tcBorders>
                  <w:noWrap w:val="0"/>
                  <w:vAlign w:val="center"/>
                </w:tcPr>
                <w:p w14:paraId="6CA53088">
                  <w:pPr>
                    <w:contextualSpacing/>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昼间</w:t>
                  </w:r>
                </w:p>
              </w:tc>
              <w:tc>
                <w:tcPr>
                  <w:tcW w:w="932" w:type="pct"/>
                  <w:tcBorders>
                    <w:tl2br w:val="nil"/>
                    <w:tr2bl w:val="nil"/>
                  </w:tcBorders>
                  <w:noWrap w:val="0"/>
                  <w:vAlign w:val="center"/>
                </w:tcPr>
                <w:p w14:paraId="01C858BF">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932" w:type="pct"/>
                  <w:tcBorders>
                    <w:tl2br w:val="nil"/>
                    <w:tr2bl w:val="nil"/>
                  </w:tcBorders>
                  <w:noWrap w:val="0"/>
                  <w:vAlign w:val="center"/>
                </w:tcPr>
                <w:p w14:paraId="52D22560">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36</w:t>
                  </w:r>
                </w:p>
              </w:tc>
              <w:tc>
                <w:tcPr>
                  <w:tcW w:w="932" w:type="pct"/>
                  <w:tcBorders>
                    <w:tl2br w:val="nil"/>
                    <w:tr2bl w:val="nil"/>
                  </w:tcBorders>
                  <w:noWrap w:val="0"/>
                  <w:vAlign w:val="center"/>
                </w:tcPr>
                <w:p w14:paraId="58722346">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1B8CA9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1372" w:type="pct"/>
                  <w:vMerge w:val="continue"/>
                  <w:tcBorders>
                    <w:tl2br w:val="nil"/>
                    <w:tr2bl w:val="nil"/>
                  </w:tcBorders>
                  <w:noWrap w:val="0"/>
                  <w:vAlign w:val="center"/>
                </w:tcPr>
                <w:p w14:paraId="130B748D">
                  <w:pPr>
                    <w:contextualSpacing/>
                    <w:jc w:val="center"/>
                    <w:rPr>
                      <w:rFonts w:hint="default" w:ascii="Times New Roman" w:hAnsi="Times New Roman" w:eastAsia="宋体" w:cs="Times New Roman"/>
                      <w:color w:val="auto"/>
                      <w:sz w:val="21"/>
                      <w:szCs w:val="21"/>
                      <w:highlight w:val="none"/>
                    </w:rPr>
                  </w:pPr>
                </w:p>
              </w:tc>
              <w:tc>
                <w:tcPr>
                  <w:tcW w:w="830" w:type="pct"/>
                  <w:tcBorders>
                    <w:tl2br w:val="nil"/>
                    <w:tr2bl w:val="nil"/>
                  </w:tcBorders>
                  <w:noWrap w:val="0"/>
                  <w:vAlign w:val="center"/>
                </w:tcPr>
                <w:p w14:paraId="1CD161E2">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夜间</w:t>
                  </w:r>
                </w:p>
              </w:tc>
              <w:tc>
                <w:tcPr>
                  <w:tcW w:w="932" w:type="pct"/>
                  <w:tcBorders>
                    <w:tl2br w:val="nil"/>
                    <w:tr2bl w:val="nil"/>
                  </w:tcBorders>
                  <w:noWrap w:val="0"/>
                  <w:vAlign w:val="center"/>
                </w:tcPr>
                <w:p w14:paraId="38FF1076">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932" w:type="pct"/>
                  <w:tcBorders>
                    <w:tl2br w:val="nil"/>
                    <w:tr2bl w:val="nil"/>
                  </w:tcBorders>
                  <w:noWrap w:val="0"/>
                  <w:vAlign w:val="center"/>
                </w:tcPr>
                <w:p w14:paraId="68C958F1">
                  <w:pPr>
                    <w:jc w:val="center"/>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36</w:t>
                  </w:r>
                </w:p>
              </w:tc>
              <w:tc>
                <w:tcPr>
                  <w:tcW w:w="932" w:type="pct"/>
                  <w:tcBorders>
                    <w:tl2br w:val="nil"/>
                    <w:tr2bl w:val="nil"/>
                  </w:tcBorders>
                  <w:noWrap w:val="0"/>
                  <w:vAlign w:val="center"/>
                </w:tcPr>
                <w:p w14:paraId="11E0B6B7">
                  <w:pPr>
                    <w:jc w:val="center"/>
                    <w:rPr>
                      <w:rFonts w:hint="default" w:ascii="Times New Roman" w:hAnsi="Times New Roman" w:eastAsia="宋体" w:cs="Times New Roman"/>
                      <w:color w:val="auto"/>
                      <w:sz w:val="21"/>
                      <w:szCs w:val="21"/>
                      <w:highlight w:val="none"/>
                      <w:lang w:val="en-US" w:eastAsia="zh-CN"/>
                    </w:rPr>
                  </w:pPr>
                </w:p>
              </w:tc>
            </w:tr>
            <w:tr w14:paraId="166548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72" w:type="pct"/>
                  <w:vMerge w:val="restart"/>
                  <w:tcBorders>
                    <w:tl2br w:val="nil"/>
                    <w:tr2bl w:val="nil"/>
                  </w:tcBorders>
                  <w:noWrap w:val="0"/>
                  <w:vAlign w:val="center"/>
                </w:tcPr>
                <w:p w14:paraId="670C3437">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南侧厂界</w:t>
                  </w:r>
                </w:p>
              </w:tc>
              <w:tc>
                <w:tcPr>
                  <w:tcW w:w="830" w:type="pct"/>
                  <w:tcBorders>
                    <w:tl2br w:val="nil"/>
                    <w:tr2bl w:val="nil"/>
                  </w:tcBorders>
                  <w:noWrap w:val="0"/>
                  <w:vAlign w:val="center"/>
                </w:tcPr>
                <w:p w14:paraId="7C438EC0">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w:t>
                  </w:r>
                </w:p>
              </w:tc>
              <w:tc>
                <w:tcPr>
                  <w:tcW w:w="932" w:type="pct"/>
                  <w:tcBorders>
                    <w:tl2br w:val="nil"/>
                    <w:tr2bl w:val="nil"/>
                  </w:tcBorders>
                  <w:noWrap w:val="0"/>
                  <w:vAlign w:val="center"/>
                </w:tcPr>
                <w:p w14:paraId="111AFC85">
                  <w:pPr>
                    <w:contextualSpacing/>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932" w:type="pct"/>
                  <w:tcBorders>
                    <w:tl2br w:val="nil"/>
                    <w:tr2bl w:val="nil"/>
                  </w:tcBorders>
                  <w:noWrap w:val="0"/>
                  <w:vAlign w:val="center"/>
                </w:tcPr>
                <w:p w14:paraId="3332714F">
                  <w:pPr>
                    <w:contextualSpacing/>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46</w:t>
                  </w:r>
                </w:p>
              </w:tc>
              <w:tc>
                <w:tcPr>
                  <w:tcW w:w="932" w:type="pct"/>
                  <w:tcBorders>
                    <w:tl2br w:val="nil"/>
                    <w:tr2bl w:val="nil"/>
                  </w:tcBorders>
                  <w:noWrap w:val="0"/>
                  <w:vAlign w:val="center"/>
                </w:tcPr>
                <w:p w14:paraId="72E46E2C">
                  <w:pPr>
                    <w:contextualSpacing/>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68260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1372" w:type="pct"/>
                  <w:vMerge w:val="continue"/>
                  <w:tcBorders>
                    <w:tl2br w:val="nil"/>
                    <w:tr2bl w:val="nil"/>
                  </w:tcBorders>
                  <w:noWrap w:val="0"/>
                  <w:vAlign w:val="center"/>
                </w:tcPr>
                <w:p w14:paraId="7959C4A6">
                  <w:pPr>
                    <w:contextualSpacing/>
                    <w:jc w:val="center"/>
                    <w:rPr>
                      <w:rFonts w:hint="default" w:ascii="Times New Roman" w:hAnsi="Times New Roman" w:eastAsia="宋体" w:cs="Times New Roman"/>
                      <w:color w:val="auto"/>
                      <w:sz w:val="21"/>
                      <w:szCs w:val="21"/>
                      <w:highlight w:val="none"/>
                    </w:rPr>
                  </w:pPr>
                </w:p>
              </w:tc>
              <w:tc>
                <w:tcPr>
                  <w:tcW w:w="830" w:type="pct"/>
                  <w:tcBorders>
                    <w:tl2br w:val="nil"/>
                    <w:tr2bl w:val="nil"/>
                  </w:tcBorders>
                  <w:noWrap w:val="0"/>
                  <w:vAlign w:val="center"/>
                </w:tcPr>
                <w:p w14:paraId="69CFA7A8">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夜间</w:t>
                  </w:r>
                </w:p>
              </w:tc>
              <w:tc>
                <w:tcPr>
                  <w:tcW w:w="932" w:type="pct"/>
                  <w:tcBorders>
                    <w:tl2br w:val="nil"/>
                    <w:tr2bl w:val="nil"/>
                  </w:tcBorders>
                  <w:noWrap w:val="0"/>
                  <w:vAlign w:val="center"/>
                </w:tcPr>
                <w:p w14:paraId="5FA1DBA7">
                  <w:pPr>
                    <w:contextualSpacing/>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932" w:type="pct"/>
                  <w:tcBorders>
                    <w:tl2br w:val="nil"/>
                    <w:tr2bl w:val="nil"/>
                  </w:tcBorders>
                  <w:noWrap w:val="0"/>
                  <w:vAlign w:val="center"/>
                </w:tcPr>
                <w:p w14:paraId="4C4FF3AD">
                  <w:pPr>
                    <w:contextualSpacing/>
                    <w:jc w:val="center"/>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46</w:t>
                  </w:r>
                </w:p>
              </w:tc>
              <w:tc>
                <w:tcPr>
                  <w:tcW w:w="932" w:type="pct"/>
                  <w:tcBorders>
                    <w:tl2br w:val="nil"/>
                    <w:tr2bl w:val="nil"/>
                  </w:tcBorders>
                  <w:noWrap w:val="0"/>
                  <w:vAlign w:val="center"/>
                </w:tcPr>
                <w:p w14:paraId="6FFFF101">
                  <w:pPr>
                    <w:contextualSpacing/>
                    <w:jc w:val="center"/>
                    <w:rPr>
                      <w:rFonts w:hint="default" w:ascii="Times New Roman" w:hAnsi="Times New Roman" w:eastAsia="宋体" w:cs="Times New Roman"/>
                      <w:color w:val="auto"/>
                      <w:sz w:val="21"/>
                      <w:szCs w:val="21"/>
                      <w:highlight w:val="none"/>
                      <w:lang w:val="en-US" w:eastAsia="zh-CN"/>
                    </w:rPr>
                  </w:pPr>
                </w:p>
              </w:tc>
            </w:tr>
            <w:tr w14:paraId="2092CE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1372" w:type="pct"/>
                  <w:vMerge w:val="restart"/>
                  <w:tcBorders>
                    <w:tl2br w:val="nil"/>
                    <w:tr2bl w:val="nil"/>
                  </w:tcBorders>
                  <w:noWrap w:val="0"/>
                  <w:vAlign w:val="center"/>
                </w:tcPr>
                <w:p w14:paraId="2BC028DA">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西侧厂界</w:t>
                  </w:r>
                </w:p>
              </w:tc>
              <w:tc>
                <w:tcPr>
                  <w:tcW w:w="830" w:type="pct"/>
                  <w:tcBorders>
                    <w:tl2br w:val="nil"/>
                    <w:tr2bl w:val="nil"/>
                  </w:tcBorders>
                  <w:noWrap w:val="0"/>
                  <w:vAlign w:val="center"/>
                </w:tcPr>
                <w:p w14:paraId="26D47E11">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w:t>
                  </w:r>
                </w:p>
              </w:tc>
              <w:tc>
                <w:tcPr>
                  <w:tcW w:w="932" w:type="pct"/>
                  <w:tcBorders>
                    <w:tl2br w:val="nil"/>
                    <w:tr2bl w:val="nil"/>
                  </w:tcBorders>
                  <w:noWrap w:val="0"/>
                  <w:vAlign w:val="center"/>
                </w:tcPr>
                <w:p w14:paraId="582CA96C">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932" w:type="pct"/>
                  <w:tcBorders>
                    <w:tl2br w:val="nil"/>
                    <w:tr2bl w:val="nil"/>
                  </w:tcBorders>
                  <w:noWrap w:val="0"/>
                  <w:vAlign w:val="center"/>
                </w:tcPr>
                <w:p w14:paraId="2C7A5BB9">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40</w:t>
                  </w:r>
                </w:p>
              </w:tc>
              <w:tc>
                <w:tcPr>
                  <w:tcW w:w="932" w:type="pct"/>
                  <w:tcBorders>
                    <w:tl2br w:val="nil"/>
                    <w:tr2bl w:val="nil"/>
                  </w:tcBorders>
                  <w:noWrap w:val="0"/>
                  <w:vAlign w:val="center"/>
                </w:tcPr>
                <w:p w14:paraId="42960EB7">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4B5D1F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372" w:type="pct"/>
                  <w:vMerge w:val="continue"/>
                  <w:tcBorders>
                    <w:tl2br w:val="nil"/>
                    <w:tr2bl w:val="nil"/>
                  </w:tcBorders>
                  <w:noWrap w:val="0"/>
                  <w:vAlign w:val="center"/>
                </w:tcPr>
                <w:p w14:paraId="7FC56452">
                  <w:pPr>
                    <w:contextualSpacing/>
                    <w:jc w:val="center"/>
                    <w:rPr>
                      <w:rFonts w:hint="default" w:ascii="Times New Roman" w:hAnsi="Times New Roman" w:eastAsia="宋体" w:cs="Times New Roman"/>
                      <w:color w:val="auto"/>
                      <w:sz w:val="21"/>
                      <w:szCs w:val="21"/>
                      <w:highlight w:val="none"/>
                    </w:rPr>
                  </w:pPr>
                </w:p>
              </w:tc>
              <w:tc>
                <w:tcPr>
                  <w:tcW w:w="830" w:type="pct"/>
                  <w:tcBorders>
                    <w:tl2br w:val="nil"/>
                    <w:tr2bl w:val="nil"/>
                  </w:tcBorders>
                  <w:noWrap w:val="0"/>
                  <w:vAlign w:val="center"/>
                </w:tcPr>
                <w:p w14:paraId="604846A7">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夜间</w:t>
                  </w:r>
                </w:p>
              </w:tc>
              <w:tc>
                <w:tcPr>
                  <w:tcW w:w="932" w:type="pct"/>
                  <w:tcBorders>
                    <w:tl2br w:val="nil"/>
                    <w:tr2bl w:val="nil"/>
                  </w:tcBorders>
                  <w:noWrap w:val="0"/>
                  <w:vAlign w:val="center"/>
                </w:tcPr>
                <w:p w14:paraId="673129D4">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932" w:type="pct"/>
                  <w:tcBorders>
                    <w:tl2br w:val="nil"/>
                    <w:tr2bl w:val="nil"/>
                  </w:tcBorders>
                  <w:noWrap w:val="0"/>
                  <w:vAlign w:val="center"/>
                </w:tcPr>
                <w:p w14:paraId="448EDD85">
                  <w:pPr>
                    <w:jc w:val="center"/>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40</w:t>
                  </w:r>
                </w:p>
              </w:tc>
              <w:tc>
                <w:tcPr>
                  <w:tcW w:w="932" w:type="pct"/>
                  <w:tcBorders>
                    <w:tl2br w:val="nil"/>
                    <w:tr2bl w:val="nil"/>
                  </w:tcBorders>
                  <w:noWrap w:val="0"/>
                  <w:vAlign w:val="center"/>
                </w:tcPr>
                <w:p w14:paraId="3D49E5D7">
                  <w:pPr>
                    <w:jc w:val="center"/>
                    <w:rPr>
                      <w:rFonts w:hint="default" w:ascii="Times New Roman" w:hAnsi="Times New Roman" w:eastAsia="宋体" w:cs="Times New Roman"/>
                      <w:color w:val="auto"/>
                      <w:sz w:val="21"/>
                      <w:szCs w:val="21"/>
                      <w:highlight w:val="none"/>
                      <w:lang w:val="en-US" w:eastAsia="zh-CN"/>
                    </w:rPr>
                  </w:pPr>
                </w:p>
              </w:tc>
            </w:tr>
            <w:tr w14:paraId="36BDA2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372" w:type="pct"/>
                  <w:vMerge w:val="restart"/>
                  <w:tcBorders>
                    <w:tl2br w:val="nil"/>
                    <w:tr2bl w:val="nil"/>
                  </w:tcBorders>
                  <w:noWrap w:val="0"/>
                  <w:vAlign w:val="center"/>
                </w:tcPr>
                <w:p w14:paraId="125C4BC5">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北侧厂界</w:t>
                  </w:r>
                </w:p>
              </w:tc>
              <w:tc>
                <w:tcPr>
                  <w:tcW w:w="830" w:type="pct"/>
                  <w:tcBorders>
                    <w:tl2br w:val="nil"/>
                    <w:tr2bl w:val="nil"/>
                  </w:tcBorders>
                  <w:noWrap w:val="0"/>
                  <w:vAlign w:val="center"/>
                </w:tcPr>
                <w:p w14:paraId="7662E128">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w:t>
                  </w:r>
                </w:p>
              </w:tc>
              <w:tc>
                <w:tcPr>
                  <w:tcW w:w="932" w:type="pct"/>
                  <w:tcBorders>
                    <w:tl2br w:val="nil"/>
                    <w:tr2bl w:val="nil"/>
                  </w:tcBorders>
                  <w:noWrap w:val="0"/>
                  <w:vAlign w:val="center"/>
                </w:tcPr>
                <w:p w14:paraId="1DF341E3">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c>
                <w:tcPr>
                  <w:tcW w:w="932" w:type="pct"/>
                  <w:tcBorders>
                    <w:tl2br w:val="nil"/>
                    <w:tr2bl w:val="nil"/>
                  </w:tcBorders>
                  <w:noWrap w:val="0"/>
                  <w:vAlign w:val="center"/>
                </w:tcPr>
                <w:p w14:paraId="10918B84">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48</w:t>
                  </w:r>
                </w:p>
              </w:tc>
              <w:tc>
                <w:tcPr>
                  <w:tcW w:w="932" w:type="pct"/>
                  <w:tcBorders>
                    <w:tl2br w:val="nil"/>
                    <w:tr2bl w:val="nil"/>
                  </w:tcBorders>
                  <w:noWrap w:val="0"/>
                  <w:vAlign w:val="center"/>
                </w:tcPr>
                <w:p w14:paraId="4818B9EB">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5EBA2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1372" w:type="pct"/>
                  <w:vMerge w:val="continue"/>
                  <w:tcBorders>
                    <w:tl2br w:val="nil"/>
                    <w:tr2bl w:val="nil"/>
                  </w:tcBorders>
                  <w:noWrap w:val="0"/>
                  <w:vAlign w:val="center"/>
                </w:tcPr>
                <w:p w14:paraId="49A2B9F6">
                  <w:pPr>
                    <w:contextualSpacing/>
                    <w:jc w:val="center"/>
                    <w:rPr>
                      <w:rFonts w:hint="default" w:ascii="Times New Roman" w:hAnsi="Times New Roman" w:eastAsia="宋体" w:cs="Times New Roman"/>
                      <w:color w:val="auto"/>
                      <w:sz w:val="21"/>
                      <w:szCs w:val="21"/>
                      <w:highlight w:val="none"/>
                    </w:rPr>
                  </w:pPr>
                </w:p>
              </w:tc>
              <w:tc>
                <w:tcPr>
                  <w:tcW w:w="830" w:type="pct"/>
                  <w:tcBorders>
                    <w:tl2br w:val="nil"/>
                    <w:tr2bl w:val="nil"/>
                  </w:tcBorders>
                  <w:noWrap w:val="0"/>
                  <w:vAlign w:val="center"/>
                </w:tcPr>
                <w:p w14:paraId="1282AE11">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夜间</w:t>
                  </w:r>
                </w:p>
              </w:tc>
              <w:tc>
                <w:tcPr>
                  <w:tcW w:w="932" w:type="pct"/>
                  <w:tcBorders>
                    <w:tl2br w:val="nil"/>
                    <w:tr2bl w:val="nil"/>
                  </w:tcBorders>
                  <w:noWrap w:val="0"/>
                  <w:vAlign w:val="center"/>
                </w:tcPr>
                <w:p w14:paraId="41F9014C">
                  <w:pPr>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932" w:type="pct"/>
                  <w:tcBorders>
                    <w:tl2br w:val="nil"/>
                    <w:tr2bl w:val="nil"/>
                  </w:tcBorders>
                  <w:noWrap w:val="0"/>
                  <w:vAlign w:val="center"/>
                </w:tcPr>
                <w:p w14:paraId="0736B1CA">
                  <w:pPr>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48</w:t>
                  </w:r>
                </w:p>
              </w:tc>
              <w:tc>
                <w:tcPr>
                  <w:tcW w:w="932" w:type="pct"/>
                  <w:tcBorders>
                    <w:tl2br w:val="nil"/>
                    <w:tr2bl w:val="nil"/>
                  </w:tcBorders>
                  <w:noWrap w:val="0"/>
                  <w:vAlign w:val="center"/>
                </w:tcPr>
                <w:p w14:paraId="424C96F5">
                  <w:pPr>
                    <w:jc w:val="center"/>
                    <w:rPr>
                      <w:rFonts w:hint="default" w:ascii="Times New Roman" w:hAnsi="Times New Roman" w:eastAsia="宋体" w:cs="Times New Roman"/>
                      <w:color w:val="auto"/>
                      <w:sz w:val="21"/>
                      <w:szCs w:val="21"/>
                      <w:highlight w:val="none"/>
                      <w:lang w:val="en-US" w:eastAsia="zh-CN"/>
                    </w:rPr>
                  </w:pPr>
                </w:p>
              </w:tc>
            </w:tr>
            <w:tr w14:paraId="4B6A4B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372" w:type="pct"/>
                  <w:vMerge w:val="restart"/>
                  <w:tcBorders>
                    <w:tl2br w:val="nil"/>
                    <w:tr2bl w:val="nil"/>
                  </w:tcBorders>
                  <w:shd w:val="clear" w:color="auto" w:fill="auto"/>
                  <w:noWrap w:val="0"/>
                  <w:vAlign w:val="center"/>
                </w:tcPr>
                <w:p w14:paraId="695C823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kern w:val="0"/>
                      <w:sz w:val="21"/>
                      <w:szCs w:val="21"/>
                      <w:highlight w:val="none"/>
                      <w:lang w:val="en-US" w:eastAsia="zh-CN" w:bidi="ar-SA"/>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厂区东侧民房</w:t>
                  </w:r>
                </w:p>
              </w:tc>
              <w:tc>
                <w:tcPr>
                  <w:tcW w:w="830" w:type="pct"/>
                  <w:tcBorders>
                    <w:tl2br w:val="nil"/>
                    <w:tr2bl w:val="nil"/>
                  </w:tcBorders>
                  <w:noWrap w:val="0"/>
                  <w:vAlign w:val="center"/>
                </w:tcPr>
                <w:p w14:paraId="1229FDB1">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w:t>
                  </w:r>
                </w:p>
              </w:tc>
              <w:tc>
                <w:tcPr>
                  <w:tcW w:w="932" w:type="pct"/>
                  <w:tcBorders>
                    <w:tl2br w:val="nil"/>
                    <w:tr2bl w:val="nil"/>
                  </w:tcBorders>
                  <w:shd w:val="clear" w:color="auto" w:fill="auto"/>
                  <w:noWrap w:val="0"/>
                  <w:vAlign w:val="center"/>
                </w:tcPr>
                <w:p w14:paraId="58CA3FF5">
                  <w:pPr>
                    <w:keepNext w:val="0"/>
                    <w:keepLines w:val="0"/>
                    <w:widowControl/>
                    <w:suppressLineNumbers w:val="0"/>
                    <w:spacing w:line="240" w:lineRule="auto"/>
                    <w:jc w:val="center"/>
                    <w:textAlignment w:val="center"/>
                    <w:rPr>
                      <w:rFonts w:hint="default" w:ascii="Times New Roman" w:hAnsi="Times New Roman" w:eastAsia="宋体" w:cs="Times New Roman"/>
                      <w:b w:val="0"/>
                      <w:bCs/>
                      <w:color w:val="auto"/>
                      <w:spacing w:val="0"/>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55</w:t>
                  </w:r>
                </w:p>
              </w:tc>
              <w:tc>
                <w:tcPr>
                  <w:tcW w:w="932" w:type="pct"/>
                  <w:tcBorders>
                    <w:tl2br w:val="nil"/>
                    <w:tr2bl w:val="nil"/>
                  </w:tcBorders>
                  <w:noWrap w:val="0"/>
                  <w:vAlign w:val="center"/>
                </w:tcPr>
                <w:p w14:paraId="71936D3F">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34</w:t>
                  </w:r>
                </w:p>
              </w:tc>
              <w:tc>
                <w:tcPr>
                  <w:tcW w:w="932" w:type="pct"/>
                  <w:tcBorders>
                    <w:tl2br w:val="nil"/>
                    <w:tr2bl w:val="nil"/>
                  </w:tcBorders>
                  <w:shd w:val="clear" w:color="auto" w:fill="auto"/>
                  <w:noWrap w:val="0"/>
                  <w:vAlign w:val="center"/>
                </w:tcPr>
                <w:p w14:paraId="521D1C8B">
                  <w:pPr>
                    <w:keepNext w:val="0"/>
                    <w:keepLines w:val="0"/>
                    <w:widowControl/>
                    <w:suppressLineNumbers w:val="0"/>
                    <w:spacing w:line="240" w:lineRule="auto"/>
                    <w:jc w:val="center"/>
                    <w:textAlignment w:val="center"/>
                    <w:rPr>
                      <w:rFonts w:hint="default" w:ascii="Times New Roman" w:hAnsi="Times New Roman" w:eastAsia="宋体" w:cs="Times New Roman"/>
                      <w:b w:val="0"/>
                      <w:bCs/>
                      <w:color w:val="auto"/>
                      <w:spacing w:val="0"/>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55</w:t>
                  </w:r>
                </w:p>
              </w:tc>
            </w:tr>
            <w:tr w14:paraId="6BD0CA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1372" w:type="pct"/>
                  <w:vMerge w:val="continue"/>
                  <w:tcBorders>
                    <w:tl2br w:val="nil"/>
                    <w:tr2bl w:val="nil"/>
                  </w:tcBorders>
                  <w:shd w:val="clear" w:color="auto" w:fill="auto"/>
                  <w:noWrap w:val="0"/>
                  <w:vAlign w:val="center"/>
                </w:tcPr>
                <w:p w14:paraId="64D02BD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kern w:val="0"/>
                      <w:sz w:val="21"/>
                      <w:szCs w:val="21"/>
                      <w:highlight w:val="none"/>
                      <w:lang w:val="en-US" w:eastAsia="zh-CN" w:bidi="ar-SA"/>
                    </w:rPr>
                  </w:pPr>
                </w:p>
              </w:tc>
              <w:tc>
                <w:tcPr>
                  <w:tcW w:w="830" w:type="pct"/>
                  <w:tcBorders>
                    <w:tl2br w:val="nil"/>
                    <w:tr2bl w:val="nil"/>
                  </w:tcBorders>
                  <w:noWrap w:val="0"/>
                  <w:vAlign w:val="center"/>
                </w:tcPr>
                <w:p w14:paraId="2A4D5D90">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夜间</w:t>
                  </w:r>
                </w:p>
              </w:tc>
              <w:tc>
                <w:tcPr>
                  <w:tcW w:w="932" w:type="pct"/>
                  <w:tcBorders>
                    <w:tl2br w:val="nil"/>
                    <w:tr2bl w:val="nil"/>
                  </w:tcBorders>
                  <w:shd w:val="clear" w:color="auto" w:fill="auto"/>
                  <w:noWrap w:val="0"/>
                  <w:vAlign w:val="center"/>
                </w:tcPr>
                <w:p w14:paraId="1C37E011">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42</w:t>
                  </w:r>
                </w:p>
              </w:tc>
              <w:tc>
                <w:tcPr>
                  <w:tcW w:w="932" w:type="pct"/>
                  <w:tcBorders>
                    <w:tl2br w:val="nil"/>
                    <w:tr2bl w:val="nil"/>
                  </w:tcBorders>
                  <w:noWrap w:val="0"/>
                  <w:vAlign w:val="center"/>
                </w:tcPr>
                <w:p w14:paraId="758C5E63">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34</w:t>
                  </w:r>
                </w:p>
              </w:tc>
              <w:tc>
                <w:tcPr>
                  <w:tcW w:w="932" w:type="pct"/>
                  <w:tcBorders>
                    <w:tl2br w:val="nil"/>
                    <w:tr2bl w:val="nil"/>
                  </w:tcBorders>
                  <w:shd w:val="clear" w:color="auto" w:fill="auto"/>
                  <w:noWrap w:val="0"/>
                  <w:vAlign w:val="center"/>
                </w:tcPr>
                <w:p w14:paraId="5C12E23B">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43</w:t>
                  </w:r>
                </w:p>
              </w:tc>
            </w:tr>
            <w:tr w14:paraId="171362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372" w:type="pct"/>
                  <w:vMerge w:val="restart"/>
                  <w:tcBorders>
                    <w:tl2br w:val="nil"/>
                    <w:tr2bl w:val="nil"/>
                  </w:tcBorders>
                  <w:shd w:val="clear" w:color="auto" w:fill="auto"/>
                  <w:noWrap w:val="0"/>
                  <w:vAlign w:val="center"/>
                </w:tcPr>
                <w:p w14:paraId="3D7C8D0C">
                  <w:pPr>
                    <w:keepNext w:val="0"/>
                    <w:pageBreakBefore w:val="0"/>
                    <w:widowControl w:val="0"/>
                    <w:wordWrap/>
                    <w:topLinePunct w:val="0"/>
                    <w:autoSpaceDE/>
                    <w:autoSpaceDN/>
                    <w:bidi w:val="0"/>
                    <w:spacing w:before="0" w:beforeLines="0" w:line="240" w:lineRule="auto"/>
                    <w:ind w:firstLine="0" w:firstLineChars="0"/>
                    <w:jc w:val="center"/>
                    <w:textAlignment w:val="auto"/>
                    <w:outlineLvl w:val="9"/>
                    <w:rPr>
                      <w:rFonts w:hint="default" w:ascii="Times New Roman" w:hAnsi="Times New Roman" w:eastAsia="宋体" w:cs="Times New Roman"/>
                      <w:bCs/>
                      <w:color w:val="auto"/>
                      <w:kern w:val="0"/>
                      <w:sz w:val="21"/>
                      <w:szCs w:val="21"/>
                      <w:highlight w:val="none"/>
                      <w:lang w:val="en-US" w:eastAsia="zh-CN" w:bidi="ar-SA"/>
                    </w:rPr>
                  </w:pP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厂区</w:t>
                  </w:r>
                  <w:r>
                    <w:rPr>
                      <w:rFonts w:hint="eastAsia" w:cs="Times New Roman"/>
                      <w:color w:val="auto"/>
                      <w:sz w:val="21"/>
                      <w:szCs w:val="21"/>
                      <w:highlight w:val="none"/>
                      <w:lang w:val="en-US" w:eastAsia="zh-CN"/>
                    </w:rPr>
                    <w:t>南</w:t>
                  </w:r>
                  <w:r>
                    <w:rPr>
                      <w:rFonts w:hint="default" w:ascii="Times New Roman" w:hAnsi="Times New Roman" w:eastAsia="宋体" w:cs="Times New Roman"/>
                      <w:color w:val="auto"/>
                      <w:sz w:val="21"/>
                      <w:szCs w:val="21"/>
                      <w:highlight w:val="none"/>
                      <w:lang w:val="en-US" w:eastAsia="zh-CN"/>
                    </w:rPr>
                    <w:t>侧民房</w:t>
                  </w:r>
                </w:p>
              </w:tc>
              <w:tc>
                <w:tcPr>
                  <w:tcW w:w="830" w:type="pct"/>
                  <w:tcBorders>
                    <w:tl2br w:val="nil"/>
                    <w:tr2bl w:val="nil"/>
                  </w:tcBorders>
                  <w:noWrap w:val="0"/>
                  <w:vAlign w:val="center"/>
                </w:tcPr>
                <w:p w14:paraId="185B26F4">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w:t>
                  </w:r>
                </w:p>
              </w:tc>
              <w:tc>
                <w:tcPr>
                  <w:tcW w:w="932" w:type="pct"/>
                  <w:tcBorders>
                    <w:tl2br w:val="nil"/>
                    <w:tr2bl w:val="nil"/>
                  </w:tcBorders>
                  <w:shd w:val="clear" w:color="auto" w:fill="auto"/>
                  <w:noWrap w:val="0"/>
                  <w:vAlign w:val="center"/>
                </w:tcPr>
                <w:p w14:paraId="1D45DA58">
                  <w:pPr>
                    <w:keepNext w:val="0"/>
                    <w:keepLines w:val="0"/>
                    <w:widowControl/>
                    <w:suppressLineNumbers w:val="0"/>
                    <w:spacing w:line="240" w:lineRule="auto"/>
                    <w:jc w:val="center"/>
                    <w:textAlignment w:val="center"/>
                    <w:rPr>
                      <w:rFonts w:hint="default" w:ascii="Times New Roman" w:hAnsi="Times New Roman" w:eastAsia="宋体" w:cs="Times New Roman"/>
                      <w:b w:val="0"/>
                      <w:bCs/>
                      <w:color w:val="auto"/>
                      <w:spacing w:val="0"/>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53</w:t>
                  </w:r>
                </w:p>
              </w:tc>
              <w:tc>
                <w:tcPr>
                  <w:tcW w:w="932" w:type="pct"/>
                  <w:tcBorders>
                    <w:tl2br w:val="nil"/>
                    <w:tr2bl w:val="nil"/>
                  </w:tcBorders>
                  <w:noWrap w:val="0"/>
                  <w:vAlign w:val="center"/>
                </w:tcPr>
                <w:p w14:paraId="0F6A6EF5">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38</w:t>
                  </w:r>
                </w:p>
              </w:tc>
              <w:tc>
                <w:tcPr>
                  <w:tcW w:w="932" w:type="pct"/>
                  <w:tcBorders>
                    <w:tl2br w:val="nil"/>
                    <w:tr2bl w:val="nil"/>
                  </w:tcBorders>
                  <w:shd w:val="clear" w:color="auto" w:fill="auto"/>
                  <w:noWrap w:val="0"/>
                  <w:vAlign w:val="center"/>
                </w:tcPr>
                <w:p w14:paraId="3E8C174A">
                  <w:pPr>
                    <w:keepNext w:val="0"/>
                    <w:keepLines w:val="0"/>
                    <w:widowControl/>
                    <w:suppressLineNumbers w:val="0"/>
                    <w:spacing w:line="240" w:lineRule="auto"/>
                    <w:jc w:val="center"/>
                    <w:textAlignment w:val="center"/>
                    <w:rPr>
                      <w:rFonts w:hint="default" w:ascii="Times New Roman" w:hAnsi="Times New Roman" w:eastAsia="宋体" w:cs="Times New Roman"/>
                      <w:b w:val="0"/>
                      <w:bCs/>
                      <w:color w:val="auto"/>
                      <w:spacing w:val="0"/>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53</w:t>
                  </w:r>
                </w:p>
              </w:tc>
            </w:tr>
            <w:tr w14:paraId="07C1BF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1372" w:type="pct"/>
                  <w:vMerge w:val="continue"/>
                  <w:tcBorders>
                    <w:tl2br w:val="nil"/>
                    <w:tr2bl w:val="nil"/>
                  </w:tcBorders>
                  <w:shd w:val="clear" w:color="auto" w:fill="auto"/>
                  <w:noWrap w:val="0"/>
                  <w:vAlign w:val="center"/>
                </w:tcPr>
                <w:p w14:paraId="3B847AE6">
                  <w:pPr>
                    <w:keepNext w:val="0"/>
                    <w:pageBreakBefore w:val="0"/>
                    <w:widowControl w:val="0"/>
                    <w:wordWrap/>
                    <w:topLinePunct w:val="0"/>
                    <w:autoSpaceDE/>
                    <w:autoSpaceDN/>
                    <w:bidi w:val="0"/>
                    <w:spacing w:before="0" w:beforeLines="0" w:line="240" w:lineRule="auto"/>
                    <w:ind w:firstLine="0" w:firstLineChars="0"/>
                    <w:jc w:val="center"/>
                    <w:textAlignment w:val="auto"/>
                    <w:outlineLvl w:val="9"/>
                    <w:rPr>
                      <w:rFonts w:hint="default" w:ascii="Times New Roman" w:hAnsi="Times New Roman" w:eastAsia="宋体" w:cs="Times New Roman"/>
                      <w:bCs/>
                      <w:color w:val="auto"/>
                      <w:kern w:val="0"/>
                      <w:sz w:val="21"/>
                      <w:szCs w:val="21"/>
                      <w:highlight w:val="none"/>
                      <w:lang w:val="en-US" w:eastAsia="zh-CN" w:bidi="ar-SA"/>
                    </w:rPr>
                  </w:pPr>
                </w:p>
              </w:tc>
              <w:tc>
                <w:tcPr>
                  <w:tcW w:w="830" w:type="pct"/>
                  <w:tcBorders>
                    <w:tl2br w:val="nil"/>
                    <w:tr2bl w:val="nil"/>
                  </w:tcBorders>
                  <w:noWrap w:val="0"/>
                  <w:vAlign w:val="center"/>
                </w:tcPr>
                <w:p w14:paraId="74D867C8">
                  <w:pPr>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夜间</w:t>
                  </w:r>
                </w:p>
              </w:tc>
              <w:tc>
                <w:tcPr>
                  <w:tcW w:w="932" w:type="pct"/>
                  <w:tcBorders>
                    <w:tl2br w:val="nil"/>
                    <w:tr2bl w:val="nil"/>
                  </w:tcBorders>
                  <w:shd w:val="clear" w:color="auto" w:fill="auto"/>
                  <w:noWrap w:val="0"/>
                  <w:vAlign w:val="center"/>
                </w:tcPr>
                <w:p w14:paraId="38427B78">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40</w:t>
                  </w:r>
                </w:p>
              </w:tc>
              <w:tc>
                <w:tcPr>
                  <w:tcW w:w="932" w:type="pct"/>
                  <w:tcBorders>
                    <w:tl2br w:val="nil"/>
                    <w:tr2bl w:val="nil"/>
                  </w:tcBorders>
                  <w:noWrap w:val="0"/>
                  <w:vAlign w:val="center"/>
                </w:tcPr>
                <w:p w14:paraId="0B672F19">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38</w:t>
                  </w:r>
                </w:p>
              </w:tc>
              <w:tc>
                <w:tcPr>
                  <w:tcW w:w="932" w:type="pct"/>
                  <w:tcBorders>
                    <w:tl2br w:val="nil"/>
                    <w:tr2bl w:val="nil"/>
                  </w:tcBorders>
                  <w:shd w:val="clear" w:color="auto" w:fill="auto"/>
                  <w:noWrap w:val="0"/>
                  <w:vAlign w:val="center"/>
                </w:tcPr>
                <w:p w14:paraId="5D329869">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4</w:t>
                  </w:r>
                  <w:r>
                    <w:rPr>
                      <w:rFonts w:hint="eastAsia" w:cs="Times New Roman"/>
                      <w:i w:val="0"/>
                      <w:iCs w:val="0"/>
                      <w:color w:val="auto"/>
                      <w:kern w:val="0"/>
                      <w:sz w:val="21"/>
                      <w:szCs w:val="21"/>
                      <w:highlight w:val="none"/>
                      <w:u w:val="none"/>
                      <w:lang w:val="en-US" w:eastAsia="zh-CN" w:bidi="ar"/>
                    </w:rPr>
                    <w:t>2</w:t>
                  </w:r>
                </w:p>
              </w:tc>
            </w:tr>
          </w:tbl>
          <w:p w14:paraId="3C887DA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default" w:ascii="Times New Roman" w:hAnsi="Times New Roman" w:eastAsia="宋体" w:cs="Times New Roman"/>
                <w:bCs/>
                <w:color w:val="auto"/>
                <w:sz w:val="21"/>
                <w:highlight w:val="none"/>
                <w:lang w:eastAsia="zh-CN"/>
              </w:rPr>
            </w:pPr>
            <w:r>
              <w:rPr>
                <w:rFonts w:hint="default" w:ascii="Times New Roman" w:hAnsi="Times New Roman" w:eastAsia="宋体" w:cs="Times New Roman"/>
                <w:color w:val="auto"/>
                <w:kern w:val="0"/>
                <w:sz w:val="21"/>
                <w:highlight w:val="none"/>
                <w:lang w:val="en-US" w:eastAsia="zh-CN"/>
              </w:rPr>
              <w:t>综上，</w:t>
            </w:r>
            <w:r>
              <w:rPr>
                <w:rFonts w:hint="default" w:ascii="Times New Roman" w:hAnsi="Times New Roman" w:eastAsia="宋体" w:cs="Times New Roman"/>
                <w:color w:val="auto"/>
                <w:kern w:val="0"/>
                <w:sz w:val="21"/>
                <w:highlight w:val="none"/>
              </w:rPr>
              <w:t>本</w:t>
            </w:r>
            <w:r>
              <w:rPr>
                <w:rFonts w:hint="default" w:ascii="Times New Roman" w:hAnsi="Times New Roman" w:eastAsia="宋体" w:cs="Times New Roman"/>
                <w:color w:val="auto"/>
                <w:kern w:val="0"/>
                <w:sz w:val="21"/>
                <w:highlight w:val="none"/>
                <w:lang w:val="en-US" w:eastAsia="zh-CN"/>
              </w:rPr>
              <w:t>项目</w:t>
            </w:r>
            <w:r>
              <w:rPr>
                <w:rFonts w:hint="default" w:ascii="Times New Roman" w:hAnsi="Times New Roman" w:eastAsia="宋体" w:cs="Times New Roman"/>
                <w:color w:val="auto"/>
                <w:kern w:val="0"/>
                <w:sz w:val="21"/>
                <w:highlight w:val="none"/>
              </w:rPr>
              <w:t>选用低噪声设备，</w:t>
            </w:r>
            <w:r>
              <w:rPr>
                <w:rFonts w:hint="eastAsia" w:cs="Times New Roman"/>
                <w:color w:val="auto"/>
                <w:kern w:val="0"/>
                <w:sz w:val="21"/>
                <w:highlight w:val="none"/>
                <w:lang w:val="en-US" w:eastAsia="zh-CN"/>
              </w:rPr>
              <w:t>采取基础</w:t>
            </w:r>
            <w:r>
              <w:rPr>
                <w:rFonts w:hint="default" w:ascii="Times New Roman" w:hAnsi="Times New Roman" w:eastAsia="宋体" w:cs="Times New Roman"/>
                <w:color w:val="auto"/>
                <w:kern w:val="0"/>
                <w:sz w:val="21"/>
                <w:highlight w:val="none"/>
              </w:rPr>
              <w:t>减振</w:t>
            </w:r>
            <w:r>
              <w:rPr>
                <w:rFonts w:hint="default" w:ascii="Times New Roman" w:hAnsi="Times New Roman" w:eastAsia="宋体" w:cs="Times New Roman"/>
                <w:color w:val="auto"/>
                <w:kern w:val="0"/>
                <w:sz w:val="21"/>
                <w:highlight w:val="none"/>
                <w:lang w:val="en-US" w:eastAsia="zh-CN"/>
              </w:rPr>
              <w:t>、</w:t>
            </w:r>
            <w:r>
              <w:rPr>
                <w:rFonts w:hint="eastAsia" w:cs="Times New Roman"/>
                <w:color w:val="auto"/>
                <w:kern w:val="0"/>
                <w:sz w:val="21"/>
                <w:highlight w:val="none"/>
                <w:lang w:val="en-US" w:eastAsia="zh-CN"/>
              </w:rPr>
              <w:t>厂房</w:t>
            </w:r>
            <w:r>
              <w:rPr>
                <w:rFonts w:hint="default" w:ascii="Times New Roman" w:hAnsi="Times New Roman" w:eastAsia="宋体" w:cs="Times New Roman"/>
                <w:color w:val="auto"/>
                <w:kern w:val="0"/>
                <w:sz w:val="21"/>
                <w:highlight w:val="none"/>
              </w:rPr>
              <w:t>隔声处理等降噪措施后，本项目厂界噪声均满足《工业企业厂界环境噪声排放标准》（GB12348-2008）</w:t>
            </w:r>
            <w:r>
              <w:rPr>
                <w:rFonts w:hint="default" w:ascii="Times New Roman" w:hAnsi="Times New Roman" w:eastAsia="宋体" w:cs="Times New Roman"/>
                <w:color w:val="auto"/>
                <w:kern w:val="0"/>
                <w:sz w:val="21"/>
                <w:highlight w:val="none"/>
                <w:lang w:val="en-US" w:eastAsia="zh-CN"/>
              </w:rPr>
              <w:t>2</w:t>
            </w:r>
            <w:r>
              <w:rPr>
                <w:rFonts w:hint="default" w:ascii="Times New Roman" w:hAnsi="Times New Roman" w:eastAsia="宋体" w:cs="Times New Roman"/>
                <w:color w:val="auto"/>
                <w:kern w:val="0"/>
                <w:sz w:val="21"/>
                <w:highlight w:val="none"/>
              </w:rPr>
              <w:t>类标准要求。</w:t>
            </w:r>
            <w:r>
              <w:rPr>
                <w:rFonts w:hint="default" w:ascii="Times New Roman" w:hAnsi="Times New Roman" w:eastAsia="宋体" w:cs="Times New Roman"/>
                <w:color w:val="auto"/>
                <w:kern w:val="0"/>
                <w:sz w:val="21"/>
                <w:highlight w:val="none"/>
                <w:lang w:val="en-US" w:eastAsia="zh-CN"/>
              </w:rPr>
              <w:t>厂区外</w:t>
            </w:r>
            <w:r>
              <w:rPr>
                <w:rFonts w:hint="default" w:ascii="Times New Roman" w:hAnsi="Times New Roman" w:eastAsia="宋体" w:cs="Times New Roman"/>
                <w:color w:val="auto"/>
                <w:sz w:val="21"/>
                <w:highlight w:val="none"/>
              </w:rPr>
              <w:t>敏感点</w:t>
            </w:r>
            <w:r>
              <w:rPr>
                <w:rFonts w:hint="default" w:ascii="Times New Roman" w:hAnsi="Times New Roman" w:eastAsia="宋体" w:cs="Times New Roman"/>
                <w:color w:val="auto"/>
                <w:kern w:val="0"/>
                <w:sz w:val="21"/>
                <w:highlight w:val="none"/>
                <w:lang w:val="en-US" w:eastAsia="zh-CN"/>
              </w:rPr>
              <w:t>民房噪声预测值均</w:t>
            </w:r>
            <w:r>
              <w:rPr>
                <w:rFonts w:hint="default" w:ascii="Times New Roman" w:hAnsi="Times New Roman" w:eastAsia="宋体" w:cs="Times New Roman"/>
                <w:color w:val="auto"/>
                <w:sz w:val="21"/>
                <w:highlight w:val="none"/>
              </w:rPr>
              <w:t>满足《声环境质量标准》（GB3096-2008）中</w:t>
            </w:r>
            <w:r>
              <w:rPr>
                <w:rFonts w:hint="default" w:ascii="Times New Roman" w:hAnsi="Times New Roman" w:eastAsia="宋体" w:cs="Times New Roman"/>
                <w:color w:val="auto"/>
                <w:sz w:val="21"/>
                <w:highlight w:val="none"/>
                <w:lang w:val="en-US" w:eastAsia="zh-CN"/>
              </w:rPr>
              <w:t>2</w:t>
            </w:r>
            <w:r>
              <w:rPr>
                <w:rFonts w:hint="default" w:ascii="Times New Roman" w:hAnsi="Times New Roman" w:eastAsia="宋体" w:cs="Times New Roman"/>
                <w:color w:val="auto"/>
                <w:sz w:val="21"/>
                <w:highlight w:val="none"/>
              </w:rPr>
              <w:t>类标准</w:t>
            </w:r>
            <w:r>
              <w:rPr>
                <w:rFonts w:hint="default" w:ascii="Times New Roman" w:hAnsi="Times New Roman" w:eastAsia="宋体" w:cs="Times New Roman"/>
                <w:color w:val="auto"/>
                <w:sz w:val="21"/>
                <w:highlight w:val="none"/>
                <w:lang w:eastAsia="zh-CN"/>
              </w:rPr>
              <w:t>。</w:t>
            </w:r>
          </w:p>
          <w:p w14:paraId="1B4F9FFD">
            <w:pPr>
              <w:spacing w:line="360" w:lineRule="auto"/>
              <w:ind w:firstLine="420" w:firstLineChars="200"/>
              <w:contextualSpacing/>
              <w:rPr>
                <w:rFonts w:hint="default" w:ascii="Times New Roman" w:hAnsi="Times New Roman" w:eastAsia="宋体" w:cs="Times New Roman"/>
                <w:b w:val="0"/>
                <w:bCs w:val="0"/>
                <w:color w:val="auto"/>
                <w:sz w:val="21"/>
                <w:highlight w:val="none"/>
              </w:rPr>
            </w:pP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lang w:val="en-US" w:eastAsia="zh-CN"/>
              </w:rPr>
              <w:t>3</w:t>
            </w: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rPr>
              <w:t>监测计划</w:t>
            </w:r>
          </w:p>
          <w:p w14:paraId="36B788A7">
            <w:pPr>
              <w:spacing w:line="360" w:lineRule="auto"/>
              <w:ind w:firstLine="420" w:firstLineChars="200"/>
              <w:contextualSpacing/>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highlight w:val="none"/>
              </w:rPr>
              <w:t xml:space="preserve">根据《排污单位自行监测技术指南 </w:t>
            </w:r>
            <w:r>
              <w:rPr>
                <w:rFonts w:hint="eastAsia" w:cs="Times New Roman"/>
                <w:color w:val="auto"/>
                <w:sz w:val="21"/>
                <w:highlight w:val="none"/>
                <w:lang w:val="en-US" w:eastAsia="zh-CN"/>
              </w:rPr>
              <w:t>火力发电及锅炉</w:t>
            </w:r>
            <w:r>
              <w:rPr>
                <w:rFonts w:hint="default" w:ascii="Times New Roman" w:hAnsi="Times New Roman" w:eastAsia="宋体" w:cs="Times New Roman"/>
                <w:color w:val="auto"/>
                <w:sz w:val="21"/>
                <w:highlight w:val="none"/>
              </w:rPr>
              <w:t>》（H</w:t>
            </w:r>
            <w:r>
              <w:rPr>
                <w:rFonts w:hint="eastAsia" w:cs="Times New Roman"/>
                <w:color w:val="auto"/>
                <w:sz w:val="21"/>
                <w:highlight w:val="none"/>
                <w:lang w:val="en-US" w:eastAsia="zh-CN"/>
              </w:rPr>
              <w:t>J</w:t>
            </w:r>
            <w:r>
              <w:rPr>
                <w:rFonts w:hint="default" w:ascii="Times New Roman" w:hAnsi="Times New Roman" w:eastAsia="宋体" w:cs="Times New Roman"/>
                <w:color w:val="auto"/>
                <w:sz w:val="21"/>
                <w:highlight w:val="none"/>
              </w:rPr>
              <w:t>8</w:t>
            </w:r>
            <w:r>
              <w:rPr>
                <w:rFonts w:hint="eastAsia" w:cs="Times New Roman"/>
                <w:color w:val="auto"/>
                <w:sz w:val="21"/>
                <w:highlight w:val="none"/>
                <w:lang w:val="en-US" w:eastAsia="zh-CN"/>
              </w:rPr>
              <w:t>20</w:t>
            </w:r>
            <w:r>
              <w:rPr>
                <w:rFonts w:hint="default" w:ascii="Times New Roman" w:hAnsi="Times New Roman" w:eastAsia="宋体" w:cs="Times New Roman"/>
                <w:color w:val="auto"/>
                <w:sz w:val="21"/>
                <w:highlight w:val="none"/>
              </w:rPr>
              <w:t>-2017），制定本项目噪声监测计划如下。</w:t>
            </w:r>
          </w:p>
          <w:p w14:paraId="3E3161B2">
            <w:pPr>
              <w:pStyle w:val="126"/>
              <w:keepNext/>
              <w:keepLines w:val="0"/>
              <w:pageBreakBefore w:val="0"/>
              <w:widowControl/>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2"/>
                <w:highlight w:val="none"/>
              </w:rPr>
            </w:pPr>
            <w:r>
              <w:rPr>
                <w:rFonts w:hint="default" w:ascii="Times New Roman" w:hAnsi="Times New Roman" w:eastAsia="宋体" w:cs="Times New Roman"/>
                <w:color w:val="auto"/>
                <w:sz w:val="21"/>
                <w:szCs w:val="22"/>
                <w:highlight w:val="none"/>
              </w:rPr>
              <w:t>表4-</w:t>
            </w:r>
            <w:r>
              <w:rPr>
                <w:rFonts w:hint="eastAsia" w:ascii="Times New Roman" w:cs="Times New Roman"/>
                <w:color w:val="auto"/>
                <w:sz w:val="21"/>
                <w:szCs w:val="22"/>
                <w:highlight w:val="none"/>
                <w:lang w:val="en-US" w:eastAsia="zh-CN"/>
              </w:rPr>
              <w:t>10</w:t>
            </w:r>
            <w:r>
              <w:rPr>
                <w:rFonts w:hint="default" w:ascii="Times New Roman" w:hAnsi="Times New Roman" w:eastAsia="宋体" w:cs="Times New Roman"/>
                <w:color w:val="auto"/>
                <w:sz w:val="21"/>
                <w:szCs w:val="22"/>
                <w:highlight w:val="none"/>
              </w:rPr>
              <w:t xml:space="preserve">  噪声监测</w:t>
            </w:r>
            <w:r>
              <w:rPr>
                <w:rFonts w:hint="default" w:ascii="Times New Roman" w:hAnsi="Times New Roman" w:eastAsia="宋体" w:cs="Times New Roman"/>
                <w:color w:val="auto"/>
                <w:sz w:val="21"/>
                <w:szCs w:val="22"/>
                <w:highlight w:val="none"/>
                <w:lang w:val="en-US" w:eastAsia="zh-CN"/>
              </w:rPr>
              <w:t>计划</w:t>
            </w:r>
            <w:r>
              <w:rPr>
                <w:rFonts w:hint="default" w:ascii="Times New Roman" w:hAnsi="Times New Roman" w:eastAsia="宋体" w:cs="Times New Roman"/>
                <w:color w:val="auto"/>
                <w:sz w:val="21"/>
                <w:szCs w:val="22"/>
                <w:highlight w:val="none"/>
              </w:rPr>
              <w:t>一览表</w:t>
            </w:r>
          </w:p>
          <w:tbl>
            <w:tblPr>
              <w:tblStyle w:val="42"/>
              <w:tblW w:w="5000" w:type="pct"/>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337"/>
              <w:gridCol w:w="1314"/>
              <w:gridCol w:w="1314"/>
              <w:gridCol w:w="4454"/>
            </w:tblGrid>
            <w:tr w14:paraId="5929B610">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94" w:type="pct"/>
                  <w:noWrap w:val="0"/>
                  <w:vAlign w:val="center"/>
                </w:tcPr>
                <w:p w14:paraId="0DA8A0D0">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监测因子</w:t>
                  </w:r>
                </w:p>
              </w:tc>
              <w:tc>
                <w:tcPr>
                  <w:tcW w:w="780" w:type="pct"/>
                  <w:noWrap w:val="0"/>
                  <w:vAlign w:val="center"/>
                </w:tcPr>
                <w:p w14:paraId="2CB0A7EC">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监测点位</w:t>
                  </w:r>
                </w:p>
              </w:tc>
              <w:tc>
                <w:tcPr>
                  <w:tcW w:w="780" w:type="pct"/>
                  <w:tcBorders>
                    <w:right w:val="single" w:color="auto" w:sz="4" w:space="0"/>
                  </w:tcBorders>
                  <w:noWrap w:val="0"/>
                  <w:vAlign w:val="center"/>
                </w:tcPr>
                <w:p w14:paraId="7B094B3D">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监测频次</w:t>
                  </w:r>
                </w:p>
              </w:tc>
              <w:tc>
                <w:tcPr>
                  <w:tcW w:w="2644" w:type="pct"/>
                  <w:noWrap w:val="0"/>
                  <w:vAlign w:val="center"/>
                </w:tcPr>
                <w:p w14:paraId="0DD9611E">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执行标准</w:t>
                  </w:r>
                </w:p>
              </w:tc>
            </w:tr>
            <w:tr w14:paraId="4E6BDDB6">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794" w:type="pct"/>
                  <w:noWrap w:val="0"/>
                  <w:vAlign w:val="center"/>
                </w:tcPr>
                <w:p w14:paraId="1CC1BEFB">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highlight w:val="none"/>
                    </w:rPr>
                    <w:t>昼/夜Leq</w:t>
                  </w:r>
                </w:p>
              </w:tc>
              <w:tc>
                <w:tcPr>
                  <w:tcW w:w="780" w:type="pct"/>
                  <w:noWrap w:val="0"/>
                  <w:vAlign w:val="center"/>
                </w:tcPr>
                <w:p w14:paraId="39ADFE28">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厂界四周</w:t>
                  </w:r>
                </w:p>
              </w:tc>
              <w:tc>
                <w:tcPr>
                  <w:tcW w:w="780" w:type="pct"/>
                  <w:tcBorders>
                    <w:right w:val="single" w:color="auto" w:sz="4" w:space="0"/>
                  </w:tcBorders>
                  <w:noWrap w:val="0"/>
                  <w:vAlign w:val="center"/>
                </w:tcPr>
                <w:p w14:paraId="22F6EA87">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w:t>
                  </w:r>
                  <w:r>
                    <w:rPr>
                      <w:rFonts w:hint="default" w:ascii="Times New Roman" w:hAnsi="Times New Roman" w:eastAsia="宋体" w:cs="Times New Roman"/>
                      <w:color w:val="auto"/>
                      <w:sz w:val="21"/>
                      <w:szCs w:val="21"/>
                      <w:highlight w:val="none"/>
                      <w:lang w:val="en-US" w:eastAsia="zh-CN"/>
                    </w:rPr>
                    <w:t>季度监测</w:t>
                  </w:r>
                  <w:r>
                    <w:rPr>
                      <w:rFonts w:hint="default" w:ascii="Times New Roman" w:hAnsi="Times New Roman" w:eastAsia="宋体" w:cs="Times New Roman"/>
                      <w:color w:val="auto"/>
                      <w:sz w:val="21"/>
                      <w:szCs w:val="21"/>
                      <w:highlight w:val="none"/>
                    </w:rPr>
                    <w:t>一次</w:t>
                  </w:r>
                </w:p>
              </w:tc>
              <w:tc>
                <w:tcPr>
                  <w:tcW w:w="2644" w:type="pct"/>
                  <w:noWrap w:val="0"/>
                  <w:vAlign w:val="center"/>
                </w:tcPr>
                <w:p w14:paraId="6EEDCC19">
                  <w:pPr>
                    <w:jc w:val="center"/>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《工业企业厂界环境噪声排放标准》</w:t>
                  </w:r>
                </w:p>
                <w:p w14:paraId="5BA03B75">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highlight w:val="none"/>
                    </w:rPr>
                    <w:t>（GB12348-2008）表1中2类标准</w:t>
                  </w:r>
                </w:p>
              </w:tc>
            </w:tr>
          </w:tbl>
          <w:p w14:paraId="3BF9C893">
            <w:pPr>
              <w:spacing w:line="360" w:lineRule="auto"/>
              <w:ind w:firstLine="420" w:firstLineChars="200"/>
              <w:contextualSpacing/>
              <w:rPr>
                <w:rFonts w:hint="default" w:ascii="Times New Roman" w:hAnsi="Times New Roman" w:eastAsia="宋体" w:cs="Times New Roman"/>
                <w:b w:val="0"/>
                <w:bCs w:val="0"/>
                <w:color w:val="auto"/>
                <w:sz w:val="21"/>
                <w:highlight w:val="none"/>
                <w:lang w:val="en-US" w:eastAsia="zh-CN"/>
              </w:rPr>
            </w:pPr>
            <w:r>
              <w:rPr>
                <w:rFonts w:hint="eastAsia" w:cs="Times New Roman"/>
                <w:b w:val="0"/>
                <w:bCs w:val="0"/>
                <w:color w:val="auto"/>
                <w:sz w:val="21"/>
                <w:highlight w:val="none"/>
                <w:lang w:val="en-US" w:eastAsia="zh-CN"/>
              </w:rPr>
              <w:t>注：周围有敏感点的，应提高检测频次。</w:t>
            </w:r>
          </w:p>
          <w:p w14:paraId="7A7C28B3">
            <w:pPr>
              <w:spacing w:line="360" w:lineRule="auto"/>
              <w:ind w:firstLine="420" w:firstLineChars="200"/>
              <w:contextualSpacing/>
              <w:rPr>
                <w:rFonts w:hint="default" w:ascii="Times New Roman" w:hAnsi="Times New Roman" w:eastAsia="宋体" w:cs="Times New Roman"/>
                <w:b w:val="0"/>
                <w:bCs w:val="0"/>
                <w:color w:val="auto"/>
                <w:sz w:val="21"/>
                <w:highlight w:val="none"/>
                <w:lang w:val="en-US" w:eastAsia="zh-CN"/>
              </w:rPr>
            </w:pP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lang w:val="en-US" w:eastAsia="zh-CN"/>
              </w:rPr>
              <w:t>4</w:t>
            </w: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lang w:val="en-US" w:eastAsia="zh-CN"/>
              </w:rPr>
              <w:t>环境影响分析</w:t>
            </w:r>
          </w:p>
          <w:p w14:paraId="6FD108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default" w:ascii="Times New Roman" w:hAnsi="Times New Roman" w:eastAsia="宋体" w:cs="Times New Roman"/>
                <w:bCs/>
                <w:color w:val="auto"/>
                <w:sz w:val="21"/>
                <w:highlight w:val="none"/>
                <w:lang w:eastAsia="zh-CN"/>
              </w:rPr>
            </w:pPr>
            <w:r>
              <w:rPr>
                <w:rFonts w:hint="default" w:ascii="Times New Roman" w:hAnsi="Times New Roman" w:eastAsia="宋体" w:cs="Times New Roman"/>
                <w:color w:val="auto"/>
                <w:sz w:val="21"/>
                <w:highlight w:val="none"/>
                <w:lang w:val="en-US" w:eastAsia="zh-CN"/>
              </w:rPr>
              <w:t>本项目选用低噪声</w:t>
            </w:r>
            <w:r>
              <w:rPr>
                <w:rFonts w:hint="eastAsia" w:cs="Times New Roman"/>
                <w:color w:val="auto"/>
                <w:sz w:val="21"/>
                <w:highlight w:val="none"/>
                <w:lang w:val="en-US" w:eastAsia="zh-CN"/>
              </w:rPr>
              <w:t>设备，</w:t>
            </w:r>
            <w:r>
              <w:rPr>
                <w:rFonts w:hint="default" w:ascii="Times New Roman" w:hAnsi="Times New Roman" w:eastAsia="宋体" w:cs="Times New Roman"/>
                <w:color w:val="auto"/>
                <w:sz w:val="21"/>
                <w:highlight w:val="none"/>
                <w:lang w:val="en-US" w:eastAsia="zh-CN"/>
              </w:rPr>
              <w:t>采取基础减振、</w:t>
            </w:r>
            <w:r>
              <w:rPr>
                <w:rFonts w:hint="eastAsia" w:cs="Times New Roman"/>
                <w:color w:val="auto"/>
                <w:sz w:val="21"/>
                <w:highlight w:val="none"/>
                <w:lang w:val="en-US" w:eastAsia="zh-CN"/>
              </w:rPr>
              <w:t>厂房</w:t>
            </w:r>
            <w:r>
              <w:rPr>
                <w:rFonts w:hint="default" w:ascii="Times New Roman" w:hAnsi="Times New Roman" w:eastAsia="宋体" w:cs="Times New Roman"/>
                <w:color w:val="auto"/>
                <w:sz w:val="21"/>
                <w:highlight w:val="none"/>
                <w:lang w:val="en-US" w:eastAsia="zh-CN"/>
              </w:rPr>
              <w:t>隔声等措施，采取以上措施后厂界噪声值可以满足《工业企业厂界环境噪声排放标准》（GB12348-2008）中2类标准的要求。</w:t>
            </w:r>
            <w:r>
              <w:rPr>
                <w:rFonts w:hint="default" w:ascii="Times New Roman" w:hAnsi="Times New Roman" w:eastAsia="宋体" w:cs="Times New Roman"/>
                <w:color w:val="auto"/>
                <w:kern w:val="0"/>
                <w:sz w:val="21"/>
                <w:highlight w:val="none"/>
                <w:lang w:val="en-US" w:eastAsia="zh-CN"/>
              </w:rPr>
              <w:t>厂区外</w:t>
            </w:r>
            <w:r>
              <w:rPr>
                <w:rFonts w:hint="default" w:ascii="Times New Roman" w:hAnsi="Times New Roman" w:eastAsia="宋体" w:cs="Times New Roman"/>
                <w:color w:val="auto"/>
                <w:sz w:val="21"/>
                <w:highlight w:val="none"/>
              </w:rPr>
              <w:t>敏感点</w:t>
            </w:r>
            <w:r>
              <w:rPr>
                <w:rFonts w:hint="default" w:ascii="Times New Roman" w:hAnsi="Times New Roman" w:eastAsia="宋体" w:cs="Times New Roman"/>
                <w:color w:val="auto"/>
                <w:kern w:val="0"/>
                <w:sz w:val="21"/>
                <w:highlight w:val="none"/>
                <w:lang w:val="en-US" w:eastAsia="zh-CN"/>
              </w:rPr>
              <w:t>民房噪声预测值均</w:t>
            </w:r>
            <w:r>
              <w:rPr>
                <w:rFonts w:hint="default" w:ascii="Times New Roman" w:hAnsi="Times New Roman" w:eastAsia="宋体" w:cs="Times New Roman"/>
                <w:color w:val="auto"/>
                <w:sz w:val="21"/>
                <w:highlight w:val="none"/>
              </w:rPr>
              <w:t>满足《声环境质量标准》（GB3096-2008）中</w:t>
            </w:r>
            <w:r>
              <w:rPr>
                <w:rFonts w:hint="default" w:ascii="Times New Roman" w:hAnsi="Times New Roman" w:eastAsia="宋体" w:cs="Times New Roman"/>
                <w:color w:val="auto"/>
                <w:sz w:val="21"/>
                <w:highlight w:val="none"/>
                <w:lang w:val="en-US" w:eastAsia="zh-CN"/>
              </w:rPr>
              <w:t>2</w:t>
            </w:r>
            <w:r>
              <w:rPr>
                <w:rFonts w:hint="default" w:ascii="Times New Roman" w:hAnsi="Times New Roman" w:eastAsia="宋体" w:cs="Times New Roman"/>
                <w:color w:val="auto"/>
                <w:sz w:val="21"/>
                <w:highlight w:val="none"/>
              </w:rPr>
              <w:t>类标准</w:t>
            </w:r>
            <w:r>
              <w:rPr>
                <w:rFonts w:hint="default" w:ascii="Times New Roman" w:hAnsi="Times New Roman" w:eastAsia="宋体" w:cs="Times New Roman"/>
                <w:color w:val="auto"/>
                <w:sz w:val="21"/>
                <w:highlight w:val="none"/>
                <w:lang w:eastAsia="zh-CN"/>
              </w:rPr>
              <w:t>。</w:t>
            </w:r>
          </w:p>
          <w:p w14:paraId="72A386C3">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综上，本项目建设对周围声环境影响较小。</w:t>
            </w:r>
          </w:p>
          <w:p w14:paraId="5F4EEE82">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b/>
                <w:bCs/>
                <w:color w:val="auto"/>
                <w:sz w:val="21"/>
                <w:highlight w:val="none"/>
                <w:lang w:val="en-US" w:eastAsia="zh-CN"/>
              </w:rPr>
              <w:t>4</w:t>
            </w:r>
            <w:r>
              <w:rPr>
                <w:rFonts w:hint="default" w:ascii="Times New Roman" w:hAnsi="Times New Roman" w:eastAsia="宋体" w:cs="Times New Roman"/>
                <w:b/>
                <w:bCs/>
                <w:color w:val="auto"/>
                <w:sz w:val="21"/>
                <w:highlight w:val="none"/>
              </w:rPr>
              <w:t>、固体废物影响和保护措施</w:t>
            </w:r>
          </w:p>
          <w:p w14:paraId="5C075A14">
            <w:pPr>
              <w:spacing w:line="360" w:lineRule="auto"/>
              <w:ind w:firstLine="420" w:firstLineChars="200"/>
              <w:contextualSpacing/>
              <w:rPr>
                <w:rFonts w:hint="default" w:ascii="Times New Roman" w:hAnsi="Times New Roman" w:eastAsia="宋体" w:cs="Times New Roman"/>
                <w:b w:val="0"/>
                <w:bCs w:val="0"/>
                <w:color w:val="auto"/>
                <w:sz w:val="21"/>
                <w:highlight w:val="none"/>
              </w:rPr>
            </w:pP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lang w:val="en-US" w:eastAsia="zh-CN"/>
              </w:rPr>
              <w:t>1</w:t>
            </w: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rPr>
              <w:t>固体废物产生情况</w:t>
            </w:r>
          </w:p>
          <w:p w14:paraId="300AFA44">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本项目固体废物</w:t>
            </w:r>
            <w:r>
              <w:rPr>
                <w:rFonts w:hint="default" w:ascii="Times New Roman" w:hAnsi="Times New Roman" w:eastAsia="宋体" w:cs="Times New Roman"/>
                <w:color w:val="auto"/>
                <w:sz w:val="21"/>
                <w:highlight w:val="none"/>
                <w:lang w:val="en-US" w:eastAsia="zh-CN"/>
              </w:rPr>
              <w:t>主要为生物质锅炉灰渣、废弃布袋及锅炉软化水处理系统产生的废</w:t>
            </w:r>
            <w:r>
              <w:rPr>
                <w:rFonts w:hint="eastAsia" w:cs="Times New Roman"/>
                <w:color w:val="auto"/>
                <w:sz w:val="21"/>
                <w:highlight w:val="none"/>
                <w:lang w:val="en-US" w:eastAsia="zh-CN"/>
              </w:rPr>
              <w:t>反渗透膜</w:t>
            </w:r>
            <w:r>
              <w:rPr>
                <w:rFonts w:hint="default" w:ascii="Times New Roman" w:hAnsi="Times New Roman" w:eastAsia="宋体" w:cs="Times New Roman"/>
                <w:color w:val="auto"/>
                <w:sz w:val="21"/>
                <w:highlight w:val="none"/>
              </w:rPr>
              <w:t>。</w:t>
            </w:r>
          </w:p>
          <w:p w14:paraId="11DEB7AB">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1</w:t>
            </w: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lang w:val="en-US" w:eastAsia="zh-CN"/>
              </w:rPr>
              <w:t>锅炉</w:t>
            </w:r>
            <w:r>
              <w:rPr>
                <w:rFonts w:hint="eastAsia" w:cs="Times New Roman"/>
                <w:color w:val="auto"/>
                <w:sz w:val="21"/>
                <w:highlight w:val="none"/>
                <w:lang w:val="en-US" w:eastAsia="zh-CN"/>
              </w:rPr>
              <w:t>炉</w:t>
            </w:r>
            <w:r>
              <w:rPr>
                <w:rFonts w:hint="default" w:ascii="Times New Roman" w:hAnsi="Times New Roman" w:eastAsia="宋体" w:cs="Times New Roman"/>
                <w:color w:val="auto"/>
                <w:sz w:val="21"/>
                <w:highlight w:val="none"/>
                <w:lang w:val="en-US" w:eastAsia="zh-CN"/>
              </w:rPr>
              <w:t>渣</w:t>
            </w:r>
          </w:p>
          <w:p w14:paraId="3D740D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t>根据《污染源源强核算技术指南 锅炉》（HJ991-2018）中的规定，生物质锅炉</w:t>
            </w:r>
            <w:r>
              <w:rPr>
                <w:rFonts w:hint="default" w:ascii="Times New Roman" w:hAnsi="Times New Roman" w:eastAsia="宋体" w:cs="Times New Roman"/>
                <w:color w:val="auto"/>
                <w:sz w:val="21"/>
                <w:szCs w:val="24"/>
                <w:highlight w:val="none"/>
                <w:lang w:eastAsia="zh-CN"/>
              </w:rPr>
              <w:t>灰渣</w:t>
            </w:r>
            <w:r>
              <w:rPr>
                <w:rFonts w:hint="default" w:ascii="Times New Roman" w:hAnsi="Times New Roman" w:eastAsia="宋体" w:cs="Times New Roman"/>
                <w:color w:val="auto"/>
                <w:sz w:val="21"/>
                <w:szCs w:val="24"/>
                <w:highlight w:val="none"/>
              </w:rPr>
              <w:t>产生量以下式进行计算：</w:t>
            </w:r>
          </w:p>
          <w:p w14:paraId="5CFD37D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object>
                <v:shape id="_x0000_i1030" o:spt="75" type="#_x0000_t75" style="height:43.3pt;width:172.3pt;" o:ole="t" filled="f" o:preferrelative="t" stroked="f" coordsize="21600,21600">
                  <v:path/>
                  <v:fill on="f" focussize="0,0"/>
                  <v:stroke on="f"/>
                  <v:imagedata r:id="rId47" o:title=""/>
                  <o:lock v:ext="edit" aspectratio="t"/>
                  <w10:wrap type="none"/>
                  <w10:anchorlock/>
                </v:shape>
                <o:OLEObject Type="Embed" ProgID="Equation.3" ShapeID="_x0000_i1030" DrawAspect="Content" ObjectID="_1468075730" r:id="rId46">
                  <o:LockedField>false</o:LockedField>
                </o:OLEObject>
              </w:object>
            </w:r>
          </w:p>
          <w:p w14:paraId="4A2119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4"/>
                <w:highlight w:val="none"/>
                <w:lang w:eastAsia="zh-CN"/>
              </w:rPr>
            </w:pPr>
            <w:r>
              <w:rPr>
                <w:rFonts w:hint="default" w:ascii="Times New Roman" w:hAnsi="Times New Roman" w:eastAsia="宋体" w:cs="Times New Roman"/>
                <w:color w:val="auto"/>
                <w:sz w:val="21"/>
                <w:szCs w:val="24"/>
                <w:highlight w:val="none"/>
              </w:rPr>
              <w:t>式中：</w:t>
            </w:r>
            <w:r>
              <w:rPr>
                <w:rFonts w:hint="default" w:ascii="Times New Roman" w:hAnsi="Times New Roman" w:eastAsia="宋体" w:cs="Times New Roman"/>
                <w:color w:val="auto"/>
                <w:sz w:val="21"/>
                <w:szCs w:val="24"/>
                <w:highlight w:val="none"/>
              </w:rPr>
              <w:object>
                <v:shape id="_x0000_i1031" o:spt="75" type="#_x0000_t75" style="height:18pt;width:18pt;" o:ole="t" filled="f" o:preferrelative="t" stroked="f" coordsize="21600,21600">
                  <v:path/>
                  <v:fill on="f" focussize="0,0"/>
                  <v:stroke on="f" joinstyle="miter"/>
                  <v:imagedata r:id="rId49" o:title=""/>
                  <o:lock v:ext="edit" aspectratio="t"/>
                  <w10:wrap type="none"/>
                  <w10:anchorlock/>
                </v:shape>
                <o:OLEObject Type="Embed" ProgID="Equation.3" ShapeID="_x0000_i1031" DrawAspect="Content" ObjectID="_1468075731" r:id="rId48">
                  <o:LockedField>false</o:LockedField>
                </o:OLEObject>
              </w:object>
            </w:r>
            <w:r>
              <w:rPr>
                <w:rFonts w:hint="default" w:ascii="Times New Roman" w:hAnsi="Times New Roman" w:eastAsia="宋体" w:cs="Times New Roman"/>
                <w:color w:val="auto"/>
                <w:sz w:val="21"/>
                <w:szCs w:val="24"/>
                <w:highlight w:val="none"/>
              </w:rPr>
              <w:t>——核算时段内</w:t>
            </w:r>
            <w:r>
              <w:rPr>
                <w:rFonts w:hint="default" w:ascii="Times New Roman" w:hAnsi="Times New Roman" w:eastAsia="宋体" w:cs="Times New Roman"/>
                <w:color w:val="auto"/>
                <w:sz w:val="21"/>
                <w:szCs w:val="24"/>
                <w:highlight w:val="none"/>
                <w:lang w:eastAsia="zh-CN"/>
              </w:rPr>
              <w:t>灰渣</w:t>
            </w:r>
            <w:r>
              <w:rPr>
                <w:rFonts w:hint="default" w:ascii="Times New Roman" w:hAnsi="Times New Roman" w:eastAsia="宋体" w:cs="Times New Roman"/>
                <w:color w:val="auto"/>
                <w:sz w:val="21"/>
                <w:szCs w:val="24"/>
                <w:highlight w:val="none"/>
              </w:rPr>
              <w:t>产生量；t</w:t>
            </w:r>
            <w:r>
              <w:rPr>
                <w:rFonts w:hint="default" w:ascii="Times New Roman" w:hAnsi="Times New Roman" w:eastAsia="宋体" w:cs="Times New Roman"/>
                <w:color w:val="auto"/>
                <w:sz w:val="21"/>
                <w:szCs w:val="24"/>
                <w:highlight w:val="none"/>
                <w:lang w:eastAsia="zh-CN"/>
              </w:rPr>
              <w:t>；</w:t>
            </w:r>
            <w:r>
              <w:rPr>
                <w:rFonts w:hint="eastAsia" w:ascii="Times New Roman" w:hAnsi="Times New Roman" w:eastAsia="宋体" w:cs="Times New Roman"/>
                <w:color w:val="auto"/>
                <w:sz w:val="21"/>
                <w:szCs w:val="21"/>
              </w:rPr>
              <w:t>根据飞灰份额dfh可分别核算飞灰、炉渣产生量；</w:t>
            </w:r>
            <w:r>
              <w:rPr>
                <w:rFonts w:hint="default" w:ascii="Times New Roman" w:hAnsi="Times New Roman" w:eastAsia="宋体" w:cs="Times New Roman"/>
                <w:color w:val="auto"/>
                <w:sz w:val="21"/>
                <w:szCs w:val="21"/>
              </w:rPr>
              <w:t>本项目生物质</w:t>
            </w:r>
            <w:r>
              <w:rPr>
                <w:rFonts w:hint="eastAsia" w:ascii="Times New Roman" w:hAnsi="Times New Roman" w:eastAsia="宋体" w:cs="Times New Roman"/>
                <w:color w:val="auto"/>
                <w:sz w:val="21"/>
                <w:szCs w:val="21"/>
                <w:lang w:val="en-US" w:eastAsia="zh-CN"/>
              </w:rPr>
              <w:t>锅炉</w:t>
            </w:r>
            <w:r>
              <w:rPr>
                <w:rFonts w:hint="default" w:ascii="Times New Roman" w:hAnsi="Times New Roman" w:eastAsia="宋体" w:cs="Times New Roman"/>
                <w:color w:val="auto"/>
                <w:sz w:val="21"/>
                <w:szCs w:val="21"/>
                <w:highlight w:val="none"/>
              </w:rPr>
              <w:t>炉型为</w:t>
            </w:r>
            <w:r>
              <w:rPr>
                <w:rFonts w:hint="default" w:ascii="Times New Roman" w:hAnsi="Times New Roman" w:eastAsia="宋体"/>
                <w:color w:val="auto"/>
                <w:sz w:val="21"/>
                <w:szCs w:val="21"/>
                <w:highlight w:val="none"/>
              </w:rPr>
              <w:t>链</w:t>
            </w:r>
            <w:r>
              <w:rPr>
                <w:rFonts w:hint="default" w:ascii="Times New Roman" w:hAnsi="Times New Roman" w:eastAsia="宋体"/>
                <w:color w:val="auto"/>
                <w:sz w:val="21"/>
                <w:szCs w:val="21"/>
              </w:rPr>
              <w:t>条炉排炉</w:t>
            </w:r>
            <w:r>
              <w:rPr>
                <w:rFonts w:hint="default"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根据</w:t>
            </w:r>
            <w:r>
              <w:rPr>
                <w:rFonts w:hint="default" w:ascii="Times New Roman" w:hAnsi="Times New Roman" w:eastAsia="宋体" w:cs="Times New Roman"/>
                <w:color w:val="auto"/>
                <w:sz w:val="21"/>
                <w:szCs w:val="21"/>
              </w:rPr>
              <w:t>《污染源源强核算技术指南 锅炉》（HJ991-2018）附录</w:t>
            </w:r>
            <w:r>
              <w:rPr>
                <w:rFonts w:hint="eastAsia" w:ascii="Times New Roman" w:hAnsi="Times New Roman" w:eastAsia="宋体" w:cs="Times New Roman"/>
                <w:color w:val="auto"/>
                <w:sz w:val="21"/>
                <w:szCs w:val="21"/>
              </w:rPr>
              <w:t>B表B.2中链条炉排及往复炉排，</w:t>
            </w:r>
            <w:r>
              <w:rPr>
                <w:rFonts w:hint="default" w:ascii="Times New Roman" w:hAnsi="Times New Roman" w:eastAsia="宋体" w:cs="Times New Roman"/>
                <w:color w:val="auto"/>
                <w:sz w:val="21"/>
                <w:szCs w:val="21"/>
              </w:rPr>
              <w:t>本项目取15%，燃生物质时飞灰份额加30%，则最终灰分份额取45%</w:t>
            </w:r>
            <w:r>
              <w:rPr>
                <w:rFonts w:hint="eastAsia" w:ascii="Times New Roman" w:hAnsi="Times New Roman" w:eastAsia="宋体" w:cs="Times New Roman"/>
                <w:color w:val="auto"/>
                <w:sz w:val="21"/>
                <w:szCs w:val="21"/>
              </w:rPr>
              <w:t>，则炉渣份额取55%</w:t>
            </w:r>
            <w:r>
              <w:rPr>
                <w:rFonts w:hint="default" w:ascii="Times New Roman" w:hAnsi="Times New Roman" w:eastAsia="宋体" w:cs="Times New Roman"/>
                <w:color w:val="auto"/>
                <w:sz w:val="21"/>
                <w:szCs w:val="21"/>
              </w:rPr>
              <w:t>；</w:t>
            </w:r>
          </w:p>
          <w:p w14:paraId="268EEBB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4"/>
                <w:highlight w:val="none"/>
                <w:lang w:eastAsia="zh-CN"/>
              </w:rPr>
            </w:pPr>
            <w:r>
              <w:rPr>
                <w:rFonts w:hint="default" w:ascii="Times New Roman" w:hAnsi="Times New Roman" w:eastAsia="宋体" w:cs="Times New Roman"/>
                <w:color w:val="auto"/>
                <w:sz w:val="21"/>
                <w:szCs w:val="24"/>
                <w:highlight w:val="none"/>
              </w:rPr>
              <w:object>
                <v:shape id="_x0000_i1032" o:spt="75" type="#_x0000_t75" style="height:12.75pt;width:12.75pt;" o:ole="t" filled="f" o:preferrelative="t" stroked="f" coordsize="21600,21600">
                  <v:path/>
                  <v:fill on="f" focussize="0,0"/>
                  <v:stroke on="f" joinstyle="miter"/>
                  <v:imagedata r:id="rId51" o:title=""/>
                  <o:lock v:ext="edit" aspectratio="t"/>
                  <w10:wrap type="none"/>
                  <w10:anchorlock/>
                </v:shape>
                <o:OLEObject Type="Embed" ProgID="Equation.3" ShapeID="_x0000_i1032" DrawAspect="Content" ObjectID="_1468075732" r:id="rId50">
                  <o:LockedField>false</o:LockedField>
                </o:OLEObject>
              </w:object>
            </w:r>
            <w:r>
              <w:rPr>
                <w:rFonts w:hint="default" w:ascii="Times New Roman" w:hAnsi="Times New Roman" w:eastAsia="宋体" w:cs="Times New Roman"/>
                <w:color w:val="auto"/>
                <w:sz w:val="21"/>
                <w:szCs w:val="24"/>
                <w:highlight w:val="none"/>
              </w:rPr>
              <w:t>——核算时段内，锅炉燃料消耗量，t（</w:t>
            </w:r>
            <w:r>
              <w:rPr>
                <w:rFonts w:hint="default" w:ascii="Times New Roman" w:hAnsi="Times New Roman" w:eastAsia="宋体" w:cs="Times New Roman"/>
                <w:bCs/>
                <w:color w:val="auto"/>
                <w:sz w:val="21"/>
                <w:highlight w:val="none"/>
                <w:lang w:val="en-US" w:eastAsia="zh-CN"/>
              </w:rPr>
              <w:t>3</w:t>
            </w:r>
            <w:r>
              <w:rPr>
                <w:rFonts w:hint="eastAsia" w:cs="Times New Roman"/>
                <w:bCs/>
                <w:color w:val="auto"/>
                <w:sz w:val="21"/>
                <w:highlight w:val="none"/>
                <w:lang w:val="en-US" w:eastAsia="zh-CN"/>
              </w:rPr>
              <w:t>608.77</w:t>
            </w:r>
            <w:r>
              <w:rPr>
                <w:rFonts w:hint="default" w:ascii="Times New Roman" w:hAnsi="Times New Roman" w:eastAsia="宋体" w:cs="Times New Roman"/>
                <w:bCs/>
                <w:color w:val="auto"/>
                <w:sz w:val="21"/>
                <w:highlight w:val="none"/>
              </w:rPr>
              <w:t>t/a</w:t>
            </w:r>
            <w:r>
              <w:rPr>
                <w:rFonts w:hint="default" w:ascii="Times New Roman" w:hAnsi="Times New Roman" w:eastAsia="宋体" w:cs="Times New Roman"/>
                <w:color w:val="auto"/>
                <w:sz w:val="21"/>
                <w:szCs w:val="24"/>
                <w:highlight w:val="none"/>
              </w:rPr>
              <w:t>）</w:t>
            </w:r>
            <w:r>
              <w:rPr>
                <w:rFonts w:hint="default" w:ascii="Times New Roman" w:hAnsi="Times New Roman" w:eastAsia="宋体" w:cs="Times New Roman"/>
                <w:color w:val="auto"/>
                <w:sz w:val="21"/>
                <w:szCs w:val="24"/>
                <w:highlight w:val="none"/>
                <w:lang w:eastAsia="zh-CN"/>
              </w:rPr>
              <w:t>；</w:t>
            </w:r>
          </w:p>
          <w:p w14:paraId="161D31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4"/>
                <w:highlight w:val="none"/>
                <w:lang w:eastAsia="zh-CN"/>
              </w:rPr>
            </w:pPr>
            <w:r>
              <w:rPr>
                <w:rFonts w:hint="default" w:ascii="Times New Roman" w:hAnsi="Times New Roman" w:eastAsia="宋体" w:cs="Times New Roman"/>
                <w:color w:val="auto"/>
                <w:sz w:val="21"/>
                <w:szCs w:val="24"/>
                <w:highlight w:val="none"/>
              </w:rPr>
              <w:object>
                <v:shape id="_x0000_i1033" o:spt="75" type="#_x0000_t75" style="height:18pt;width:18pt;" o:ole="t" filled="f" o:preferrelative="t" stroked="f" coordsize="21600,21600">
                  <v:path/>
                  <v:fill on="f" focussize="0,0"/>
                  <v:stroke on="f" joinstyle="miter"/>
                  <v:imagedata r:id="rId53" o:title=""/>
                  <o:lock v:ext="edit" aspectratio="t"/>
                  <w10:wrap type="none"/>
                  <w10:anchorlock/>
                </v:shape>
                <o:OLEObject Type="Embed" ProgID="Equation.3" ShapeID="_x0000_i1033" DrawAspect="Content" ObjectID="_1468075733" r:id="rId52">
                  <o:LockedField>false</o:LockedField>
                </o:OLEObject>
              </w:object>
            </w:r>
            <w:r>
              <w:rPr>
                <w:rFonts w:hint="default" w:ascii="Times New Roman" w:hAnsi="Times New Roman" w:eastAsia="宋体" w:cs="Times New Roman"/>
                <w:color w:val="auto"/>
                <w:sz w:val="21"/>
                <w:szCs w:val="24"/>
                <w:highlight w:val="none"/>
              </w:rPr>
              <w:t>——收到基灰分的质量分数，%</w:t>
            </w:r>
            <w:r>
              <w:rPr>
                <w:rFonts w:hint="default" w:ascii="Times New Roman" w:hAnsi="Times New Roman" w:eastAsia="宋体" w:cs="Times New Roman"/>
                <w:color w:val="auto"/>
                <w:sz w:val="21"/>
                <w:szCs w:val="24"/>
                <w:highlight w:val="none"/>
                <w:lang w:eastAsia="zh-CN"/>
              </w:rPr>
              <w:t>，</w:t>
            </w:r>
            <w:r>
              <w:rPr>
                <w:rFonts w:hint="default" w:ascii="Times New Roman" w:hAnsi="Times New Roman" w:eastAsia="宋体" w:cs="Times New Roman"/>
                <w:color w:val="auto"/>
                <w:sz w:val="21"/>
                <w:szCs w:val="24"/>
                <w:highlight w:val="none"/>
                <w:lang w:val="en-US" w:eastAsia="zh-CN"/>
              </w:rPr>
              <w:t>取</w:t>
            </w:r>
            <w:r>
              <w:rPr>
                <w:rFonts w:hint="eastAsia" w:cs="Times New Roman"/>
                <w:color w:val="auto"/>
                <w:sz w:val="21"/>
                <w:highlight w:val="none"/>
                <w:lang w:val="en-US" w:eastAsia="zh-CN"/>
              </w:rPr>
              <w:t>6.33</w:t>
            </w:r>
            <w:r>
              <w:rPr>
                <w:rFonts w:hint="default" w:ascii="Times New Roman" w:hAnsi="Times New Roman" w:eastAsia="宋体" w:cs="Times New Roman"/>
                <w:color w:val="auto"/>
                <w:sz w:val="21"/>
                <w:szCs w:val="24"/>
                <w:highlight w:val="none"/>
                <w:lang w:eastAsia="zh-CN"/>
              </w:rPr>
              <w:t>%；</w:t>
            </w:r>
          </w:p>
          <w:p w14:paraId="2FD174F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eastAsia="宋体" w:cs="Times New Roman"/>
                <w:color w:val="auto"/>
                <w:sz w:val="21"/>
                <w:szCs w:val="24"/>
                <w:highlight w:val="none"/>
              </w:rPr>
            </w:pPr>
            <w:r>
              <w:rPr>
                <w:rFonts w:hint="default" w:ascii="Times New Roman" w:hAnsi="Times New Roman" w:eastAsia="宋体" w:cs="Times New Roman"/>
                <w:color w:val="auto"/>
                <w:sz w:val="21"/>
                <w:szCs w:val="24"/>
                <w:highlight w:val="none"/>
              </w:rPr>
              <w:object>
                <v:shape id="_x0000_i1034" o:spt="75" type="#_x0000_t75" style="height:18pt;width:14.25pt;" o:ole="t" filled="f" o:preferrelative="t" stroked="f" coordsize="21600,21600">
                  <v:path/>
                  <v:fill on="f" focussize="0,0"/>
                  <v:stroke on="f" joinstyle="miter"/>
                  <v:imagedata r:id="rId55" o:title=""/>
                  <o:lock v:ext="edit" aspectratio="t"/>
                  <w10:wrap type="none"/>
                  <w10:anchorlock/>
                </v:shape>
                <o:OLEObject Type="Embed" ProgID="Equation.3" ShapeID="_x0000_i1034" DrawAspect="Content" ObjectID="_1468075734" r:id="rId54">
                  <o:LockedField>false</o:LockedField>
                </o:OLEObject>
              </w:object>
            </w:r>
            <w:r>
              <w:rPr>
                <w:rFonts w:hint="default" w:ascii="Times New Roman" w:hAnsi="Times New Roman" w:eastAsia="宋体" w:cs="Times New Roman"/>
                <w:color w:val="auto"/>
                <w:sz w:val="21"/>
                <w:szCs w:val="24"/>
                <w:highlight w:val="none"/>
              </w:rPr>
              <w:t>——锅炉机械不完全燃烧热损失，%</w:t>
            </w:r>
            <w:r>
              <w:rPr>
                <w:rFonts w:hint="default" w:ascii="Times New Roman" w:hAnsi="Times New Roman" w:eastAsia="宋体" w:cs="Times New Roman"/>
                <w:color w:val="auto"/>
                <w:kern w:val="24"/>
                <w:sz w:val="21"/>
                <w:highlight w:val="none"/>
              </w:rPr>
              <w:t>根据附录B.1取</w:t>
            </w:r>
            <w:r>
              <w:rPr>
                <w:rFonts w:hint="default" w:ascii="Times New Roman" w:hAnsi="Times New Roman" w:eastAsia="宋体" w:cs="Times New Roman"/>
                <w:color w:val="auto"/>
                <w:kern w:val="24"/>
                <w:sz w:val="21"/>
                <w:highlight w:val="none"/>
                <w:lang w:val="en-US" w:eastAsia="zh-CN"/>
              </w:rPr>
              <w:t>1</w:t>
            </w:r>
            <w:r>
              <w:rPr>
                <w:rFonts w:hint="default" w:ascii="Times New Roman" w:hAnsi="Times New Roman" w:eastAsia="宋体" w:cs="Times New Roman"/>
                <w:color w:val="auto"/>
                <w:kern w:val="24"/>
                <w:sz w:val="21"/>
                <w:highlight w:val="none"/>
              </w:rPr>
              <w:t>5%；</w:t>
            </w:r>
          </w:p>
          <w:p w14:paraId="1069EE1C">
            <w:pPr>
              <w:spacing w:line="360" w:lineRule="auto"/>
              <w:contextualSpacing/>
              <w:jc w:val="center"/>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rPr>
              <w:object>
                <v:shape id="_x0000_i1035" o:spt="75" type="#_x0000_t75" style="height:19.5pt;width:30pt;" o:ole="t" filled="f" o:preferrelative="t" stroked="f" coordsize="21600,21600">
                  <v:path/>
                  <v:fill on="f" focussize="0,0"/>
                  <v:stroke on="f" joinstyle="miter"/>
                  <v:imagedata r:id="rId57" o:title=""/>
                  <o:lock v:ext="edit" aspectratio="t"/>
                  <w10:wrap type="none"/>
                  <w10:anchorlock/>
                </v:shape>
                <o:OLEObject Type="Embed" ProgID="Equation.3" ShapeID="_x0000_i1035" DrawAspect="Content" ObjectID="_1468075735" r:id="rId56">
                  <o:LockedField>false</o:LockedField>
                </o:OLEObject>
              </w:object>
            </w:r>
            <w:r>
              <w:rPr>
                <w:rFonts w:hint="default" w:ascii="Times New Roman" w:hAnsi="Times New Roman" w:eastAsia="宋体" w:cs="Times New Roman"/>
                <w:color w:val="auto"/>
                <w:sz w:val="21"/>
                <w:szCs w:val="24"/>
                <w:highlight w:val="none"/>
              </w:rPr>
              <w:t>——收到基低位发热量，kJ/kg</w:t>
            </w:r>
            <w:r>
              <w:rPr>
                <w:rFonts w:hint="default" w:ascii="Times New Roman" w:hAnsi="Times New Roman" w:eastAsia="宋体" w:cs="Times New Roman"/>
                <w:color w:val="auto"/>
                <w:sz w:val="21"/>
                <w:szCs w:val="24"/>
                <w:highlight w:val="none"/>
                <w:lang w:eastAsia="zh-CN"/>
              </w:rPr>
              <w:t>，</w:t>
            </w:r>
            <w:r>
              <w:rPr>
                <w:rFonts w:hint="default" w:ascii="Times New Roman" w:hAnsi="Times New Roman" w:eastAsia="宋体" w:cs="Times New Roman"/>
                <w:color w:val="auto"/>
                <w:kern w:val="24"/>
                <w:sz w:val="21"/>
                <w:highlight w:val="none"/>
              </w:rPr>
              <w:t>根据燃料成分分析报告为</w:t>
            </w:r>
            <w:r>
              <w:rPr>
                <w:rFonts w:hint="eastAsia" w:cs="Times New Roman"/>
                <w:color w:val="auto"/>
                <w:kern w:val="24"/>
                <w:sz w:val="21"/>
                <w:highlight w:val="none"/>
                <w:lang w:val="en-US" w:eastAsia="zh-CN"/>
              </w:rPr>
              <w:t>14132</w:t>
            </w:r>
            <w:r>
              <w:rPr>
                <w:rFonts w:hint="default" w:ascii="Times New Roman" w:hAnsi="Times New Roman" w:eastAsia="宋体" w:cs="Times New Roman"/>
                <w:color w:val="auto"/>
                <w:kern w:val="24"/>
                <w:sz w:val="21"/>
                <w:highlight w:val="none"/>
                <w:lang w:val="en-US" w:eastAsia="zh-CN"/>
              </w:rPr>
              <w:t>k</w:t>
            </w:r>
            <w:r>
              <w:rPr>
                <w:rFonts w:hint="default" w:ascii="Times New Roman" w:hAnsi="Times New Roman" w:eastAsia="宋体" w:cs="Times New Roman"/>
                <w:color w:val="auto"/>
                <w:kern w:val="24"/>
                <w:sz w:val="21"/>
                <w:highlight w:val="none"/>
              </w:rPr>
              <w:t>J/kg。</w:t>
            </w:r>
          </w:p>
          <w:p w14:paraId="117A3FD6">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kern w:val="0"/>
                <w:sz w:val="21"/>
                <w:szCs w:val="24"/>
                <w:highlight w:val="none"/>
                <w:lang w:val="en-US" w:eastAsia="zh-CN" w:bidi="ar-SA"/>
              </w:rPr>
            </w:pPr>
            <w:r>
              <w:rPr>
                <w:rFonts w:hint="default" w:ascii="Times New Roman" w:hAnsi="Times New Roman" w:eastAsia="宋体" w:cs="Times New Roman"/>
                <w:color w:val="auto"/>
                <w:sz w:val="21"/>
                <w:szCs w:val="24"/>
                <w:highlight w:val="none"/>
                <w:lang w:val="en-US" w:eastAsia="zh-CN"/>
              </w:rPr>
              <w:t>经计算</w:t>
            </w:r>
            <w:r>
              <w:rPr>
                <w:rFonts w:hint="default" w:ascii="Times New Roman" w:hAnsi="Times New Roman" w:eastAsia="宋体" w:cs="Times New Roman"/>
                <w:color w:val="auto"/>
                <w:sz w:val="21"/>
                <w:szCs w:val="24"/>
                <w:highlight w:val="none"/>
              </w:rPr>
              <w:t>本项目</w:t>
            </w:r>
            <w:r>
              <w:rPr>
                <w:rFonts w:hint="default" w:ascii="Times New Roman" w:hAnsi="Times New Roman" w:eastAsia="宋体" w:cs="Times New Roman"/>
                <w:color w:val="auto"/>
                <w:sz w:val="21"/>
                <w:szCs w:val="24"/>
                <w:highlight w:val="none"/>
                <w:lang w:eastAsia="zh-CN"/>
              </w:rPr>
              <w:t>生物质锅炉</w:t>
            </w:r>
            <w:r>
              <w:rPr>
                <w:rFonts w:hint="eastAsia" w:cs="Times New Roman"/>
                <w:color w:val="auto"/>
                <w:sz w:val="21"/>
                <w:szCs w:val="24"/>
                <w:highlight w:val="none"/>
                <w:lang w:val="en-US" w:eastAsia="zh-CN"/>
              </w:rPr>
              <w:t>炉</w:t>
            </w:r>
            <w:r>
              <w:rPr>
                <w:rFonts w:hint="default" w:ascii="Times New Roman" w:hAnsi="Times New Roman" w:eastAsia="宋体" w:cs="Times New Roman"/>
                <w:color w:val="auto"/>
                <w:sz w:val="21"/>
                <w:szCs w:val="24"/>
                <w:highlight w:val="none"/>
                <w:lang w:eastAsia="zh-CN"/>
              </w:rPr>
              <w:t>渣</w:t>
            </w:r>
            <w:r>
              <w:rPr>
                <w:rFonts w:hint="default" w:ascii="Times New Roman" w:hAnsi="Times New Roman" w:eastAsia="宋体" w:cs="Times New Roman"/>
                <w:color w:val="auto"/>
                <w:sz w:val="21"/>
                <w:szCs w:val="24"/>
                <w:highlight w:val="none"/>
              </w:rPr>
              <w:t>产生量为</w:t>
            </w:r>
            <w:r>
              <w:rPr>
                <w:rFonts w:hint="eastAsia" w:cs="Times New Roman"/>
                <w:color w:val="auto"/>
                <w:sz w:val="21"/>
                <w:szCs w:val="24"/>
                <w:highlight w:val="none"/>
                <w:lang w:val="en-US" w:eastAsia="zh-CN"/>
              </w:rPr>
              <w:t>249.86</w:t>
            </w:r>
            <w:r>
              <w:rPr>
                <w:rFonts w:hint="default" w:ascii="Times New Roman" w:hAnsi="Times New Roman" w:eastAsia="宋体" w:cs="Times New Roman"/>
                <w:color w:val="auto"/>
                <w:sz w:val="21"/>
                <w:szCs w:val="24"/>
                <w:highlight w:val="none"/>
              </w:rPr>
              <w:t>t/a。锅炉</w:t>
            </w:r>
            <w:r>
              <w:rPr>
                <w:rFonts w:hint="eastAsia" w:cs="Times New Roman"/>
                <w:color w:val="auto"/>
                <w:sz w:val="21"/>
                <w:szCs w:val="24"/>
                <w:highlight w:val="none"/>
                <w:lang w:val="en-US" w:eastAsia="zh-CN"/>
              </w:rPr>
              <w:t>炉</w:t>
            </w:r>
            <w:r>
              <w:rPr>
                <w:rFonts w:hint="default" w:ascii="Times New Roman" w:hAnsi="Times New Roman" w:eastAsia="宋体" w:cs="Times New Roman"/>
                <w:color w:val="auto"/>
                <w:sz w:val="21"/>
                <w:szCs w:val="24"/>
                <w:highlight w:val="none"/>
                <w:lang w:eastAsia="zh-CN"/>
              </w:rPr>
              <w:t>渣</w:t>
            </w:r>
            <w:r>
              <w:rPr>
                <w:rFonts w:hint="default" w:ascii="Times New Roman" w:hAnsi="Times New Roman" w:eastAsia="宋体" w:cs="Times New Roman"/>
                <w:color w:val="auto"/>
                <w:sz w:val="21"/>
                <w:szCs w:val="24"/>
                <w:highlight w:val="none"/>
              </w:rPr>
              <w:t>产生后</w:t>
            </w:r>
            <w:r>
              <w:rPr>
                <w:rFonts w:hint="default" w:ascii="Times New Roman" w:hAnsi="Times New Roman" w:eastAsia="宋体" w:cs="Times New Roman"/>
                <w:color w:val="auto"/>
                <w:sz w:val="21"/>
                <w:szCs w:val="24"/>
                <w:highlight w:val="none"/>
                <w:lang w:val="en-US" w:eastAsia="zh-CN"/>
              </w:rPr>
              <w:t>暂存于灰渣间，定期外售</w:t>
            </w:r>
            <w:r>
              <w:rPr>
                <w:rFonts w:hint="default" w:ascii="Times New Roman" w:hAnsi="Times New Roman" w:eastAsia="宋体" w:cs="Times New Roman"/>
                <w:color w:val="auto"/>
                <w:sz w:val="21"/>
                <w:szCs w:val="21"/>
                <w:highlight w:val="none"/>
                <w:lang w:val="en-US" w:eastAsia="zh-CN"/>
              </w:rPr>
              <w:t>综合利用</w:t>
            </w:r>
            <w:r>
              <w:rPr>
                <w:rFonts w:hint="default" w:ascii="Times New Roman" w:hAnsi="Times New Roman" w:eastAsia="宋体" w:cs="Times New Roman"/>
                <w:color w:val="auto"/>
                <w:kern w:val="0"/>
                <w:sz w:val="21"/>
                <w:szCs w:val="24"/>
                <w:highlight w:val="none"/>
                <w:lang w:val="en-US" w:eastAsia="zh-CN" w:bidi="ar-SA"/>
              </w:rPr>
              <w:t>。</w:t>
            </w:r>
          </w:p>
          <w:p w14:paraId="36556E21">
            <w:pPr>
              <w:numPr>
                <w:ilvl w:val="0"/>
                <w:numId w:val="0"/>
              </w:numPr>
              <w:spacing w:line="360" w:lineRule="auto"/>
              <w:ind w:firstLine="420" w:firstLineChars="200"/>
              <w:contextualSpacing/>
              <w:rPr>
                <w:rFonts w:hint="default" w:ascii="Times New Roman" w:hAnsi="Times New Roman" w:eastAsia="宋体" w:cs="Times New Roman"/>
                <w:bCs/>
                <w:color w:val="auto"/>
                <w:kern w:val="2"/>
                <w:sz w:val="21"/>
                <w:szCs w:val="21"/>
                <w:lang w:val="en-US" w:eastAsia="zh-CN" w:bidi="ar-SA"/>
              </w:rPr>
            </w:pPr>
            <w:r>
              <w:rPr>
                <w:rFonts w:hint="eastAsia" w:cs="Times New Roman"/>
                <w:color w:val="auto"/>
                <w:sz w:val="21"/>
                <w:highlight w:val="none"/>
                <w:lang w:val="en-US" w:eastAsia="zh-CN"/>
              </w:rPr>
              <w:t>2</w:t>
            </w:r>
            <w:r>
              <w:rPr>
                <w:rFonts w:hint="default" w:ascii="Times New Roman" w:hAnsi="Times New Roman" w:eastAsia="宋体" w:cs="Times New Roman"/>
                <w:color w:val="auto"/>
                <w:sz w:val="21"/>
                <w:highlight w:val="none"/>
                <w:lang w:eastAsia="zh-CN"/>
              </w:rPr>
              <w:t>）</w:t>
            </w:r>
            <w:r>
              <w:rPr>
                <w:rFonts w:hint="eastAsia" w:ascii="Times New Roman" w:hAnsi="Times New Roman" w:eastAsia="宋体" w:cs="Times New Roman"/>
                <w:bCs/>
                <w:color w:val="auto"/>
                <w:kern w:val="2"/>
                <w:sz w:val="21"/>
                <w:szCs w:val="21"/>
                <w:lang w:val="en-US" w:eastAsia="zh-CN" w:bidi="ar-SA"/>
              </w:rPr>
              <w:t>除尘器除尘灰</w:t>
            </w:r>
          </w:p>
          <w:p w14:paraId="72CD2C65">
            <w:pPr>
              <w:numPr>
                <w:ilvl w:val="0"/>
                <w:numId w:val="0"/>
              </w:numPr>
              <w:spacing w:line="360" w:lineRule="auto"/>
              <w:ind w:firstLine="420" w:firstLineChars="200"/>
              <w:contextualSpacing/>
              <w:rPr>
                <w:rFonts w:hint="default" w:ascii="Times New Roman" w:hAnsi="Times New Roman" w:eastAsia="宋体" w:cs="Times New Roman"/>
                <w:color w:val="auto"/>
                <w:kern w:val="0"/>
                <w:sz w:val="21"/>
                <w:szCs w:val="24"/>
                <w:highlight w:val="none"/>
                <w:lang w:val="en-US" w:eastAsia="zh-CN" w:bidi="ar-SA"/>
              </w:rPr>
            </w:pPr>
            <w:r>
              <w:rPr>
                <w:rFonts w:hint="eastAsia" w:ascii="Times New Roman" w:hAnsi="Times New Roman" w:eastAsia="宋体" w:cs="Times New Roman"/>
                <w:bCs/>
                <w:color w:val="auto"/>
                <w:kern w:val="2"/>
                <w:sz w:val="21"/>
                <w:szCs w:val="21"/>
                <w:lang w:val="en-US" w:eastAsia="zh-CN" w:bidi="ar-SA"/>
              </w:rPr>
              <w:t>根据物料平衡，锅炉烟气中颗粒物产生量为</w:t>
            </w:r>
            <w:r>
              <w:rPr>
                <w:rFonts w:hint="eastAsia" w:cs="Times New Roman"/>
                <w:bCs/>
                <w:color w:val="auto"/>
                <w:kern w:val="2"/>
                <w:sz w:val="21"/>
                <w:szCs w:val="21"/>
                <w:lang w:val="en-US" w:eastAsia="zh-CN" w:bidi="ar-SA"/>
              </w:rPr>
              <w:t>118.16</w:t>
            </w:r>
            <w:r>
              <w:rPr>
                <w:rFonts w:hint="default" w:ascii="Times New Roman" w:hAnsi="Times New Roman" w:eastAsia="宋体" w:cs="Times New Roman"/>
                <w:bCs/>
                <w:color w:val="auto"/>
                <w:kern w:val="2"/>
                <w:sz w:val="21"/>
                <w:szCs w:val="21"/>
                <w:lang w:val="en-US" w:eastAsia="zh-CN" w:bidi="ar-SA"/>
              </w:rPr>
              <w:t>t/a</w:t>
            </w:r>
            <w:r>
              <w:rPr>
                <w:rFonts w:hint="eastAsia" w:ascii="Times New Roman" w:hAnsi="Times New Roman" w:eastAsia="宋体" w:cs="Times New Roman"/>
                <w:bCs/>
                <w:color w:val="auto"/>
                <w:kern w:val="2"/>
                <w:sz w:val="21"/>
                <w:szCs w:val="21"/>
                <w:lang w:val="en-US" w:eastAsia="zh-CN" w:bidi="ar-SA"/>
              </w:rPr>
              <w:t>、排放量为</w:t>
            </w:r>
            <w:r>
              <w:rPr>
                <w:rFonts w:hint="eastAsia" w:cs="Times New Roman"/>
                <w:bCs/>
                <w:color w:val="auto"/>
                <w:kern w:val="2"/>
                <w:sz w:val="21"/>
                <w:szCs w:val="21"/>
                <w:lang w:val="en-US" w:eastAsia="zh-CN" w:bidi="ar-SA"/>
              </w:rPr>
              <w:t>0.35</w:t>
            </w:r>
            <w:r>
              <w:rPr>
                <w:rFonts w:hint="default" w:ascii="Times New Roman" w:hAnsi="Times New Roman" w:eastAsia="宋体" w:cs="Times New Roman"/>
                <w:bCs/>
                <w:color w:val="auto"/>
                <w:kern w:val="2"/>
                <w:sz w:val="21"/>
                <w:szCs w:val="21"/>
                <w:lang w:val="en-US" w:eastAsia="zh-CN" w:bidi="ar-SA"/>
              </w:rPr>
              <w:t>t/a</w:t>
            </w:r>
            <w:r>
              <w:rPr>
                <w:rFonts w:hint="eastAsia" w:ascii="Times New Roman" w:hAnsi="Times New Roman" w:eastAsia="宋体" w:cs="Times New Roman"/>
                <w:bCs/>
                <w:color w:val="auto"/>
                <w:kern w:val="2"/>
                <w:sz w:val="21"/>
                <w:szCs w:val="21"/>
                <w:lang w:val="en-US" w:eastAsia="zh-CN" w:bidi="ar-SA"/>
              </w:rPr>
              <w:t>，则除尘器收集的灰量为117.80</w:t>
            </w:r>
            <w:r>
              <w:rPr>
                <w:rFonts w:hint="default" w:ascii="Times New Roman" w:hAnsi="Times New Roman" w:eastAsia="宋体" w:cs="Times New Roman"/>
                <w:bCs/>
                <w:color w:val="auto"/>
                <w:kern w:val="2"/>
                <w:sz w:val="21"/>
                <w:szCs w:val="21"/>
                <w:lang w:val="en-US" w:eastAsia="zh-CN" w:bidi="ar-SA"/>
              </w:rPr>
              <w:t>t/a</w:t>
            </w:r>
            <w:r>
              <w:rPr>
                <w:rFonts w:hint="eastAsia" w:ascii="Times New Roman" w:hAnsi="Times New Roman" w:eastAsia="宋体" w:cs="Times New Roman"/>
                <w:bCs/>
                <w:color w:val="auto"/>
                <w:kern w:val="2"/>
                <w:sz w:val="21"/>
                <w:szCs w:val="21"/>
                <w:lang w:val="en-US" w:eastAsia="zh-CN" w:bidi="ar-SA"/>
              </w:rPr>
              <w:t>。密封暂存于灰渣间中</w:t>
            </w:r>
            <w:r>
              <w:rPr>
                <w:rFonts w:hint="default" w:ascii="Times New Roman" w:hAnsi="Times New Roman" w:cs="Times New Roman"/>
                <w:color w:val="auto"/>
                <w:sz w:val="21"/>
                <w:highlight w:val="none"/>
                <w:lang w:eastAsia="zh-CN"/>
              </w:rPr>
              <w:t>，</w:t>
            </w:r>
            <w:r>
              <w:rPr>
                <w:rFonts w:hint="default" w:ascii="Times New Roman" w:hAnsi="Times New Roman" w:cs="Times New Roman"/>
                <w:color w:val="auto"/>
                <w:sz w:val="21"/>
                <w:highlight w:val="none"/>
                <w:lang w:val="en-US" w:eastAsia="zh-CN"/>
              </w:rPr>
              <w:t>定期</w:t>
            </w:r>
            <w:r>
              <w:rPr>
                <w:rFonts w:hint="default" w:ascii="Times New Roman" w:hAnsi="Times New Roman" w:cs="Times New Roman"/>
                <w:color w:val="auto"/>
                <w:sz w:val="21"/>
                <w:highlight w:val="none"/>
              </w:rPr>
              <w:t>外售综合利用，不做长期堆存</w:t>
            </w:r>
            <w:r>
              <w:rPr>
                <w:rFonts w:hint="default" w:ascii="Times New Roman" w:hAnsi="Times New Roman" w:cs="Times New Roman"/>
                <w:color w:val="auto"/>
                <w:sz w:val="21"/>
                <w:highlight w:val="none"/>
                <w:lang w:eastAsia="zh-CN"/>
              </w:rPr>
              <w:t>。</w:t>
            </w:r>
          </w:p>
          <w:p w14:paraId="4D392C0A">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lang w:val="en-US" w:eastAsia="zh-CN"/>
              </w:rPr>
            </w:pPr>
            <w:r>
              <w:rPr>
                <w:rFonts w:hint="eastAsia" w:cs="Times New Roman"/>
                <w:color w:val="auto"/>
                <w:sz w:val="21"/>
                <w:highlight w:val="none"/>
                <w:lang w:val="en-US" w:eastAsia="zh-CN"/>
              </w:rPr>
              <w:t>3</w:t>
            </w: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lang w:val="en-US" w:eastAsia="zh-CN"/>
              </w:rPr>
              <w:t>废弃布袋</w:t>
            </w:r>
          </w:p>
          <w:p w14:paraId="5CC4AE66">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lang w:eastAsia="zh-CN"/>
              </w:rPr>
              <w:t>本项目</w:t>
            </w:r>
            <w:r>
              <w:rPr>
                <w:rFonts w:hint="eastAsia" w:cs="Times New Roman"/>
                <w:color w:val="auto"/>
                <w:sz w:val="21"/>
                <w:highlight w:val="none"/>
                <w:lang w:val="en-US" w:eastAsia="zh-CN"/>
              </w:rPr>
              <w:t>废</w:t>
            </w:r>
            <w:r>
              <w:rPr>
                <w:rFonts w:hint="default" w:ascii="Times New Roman" w:hAnsi="Times New Roman" w:eastAsia="宋体" w:cs="Times New Roman"/>
                <w:color w:val="auto"/>
                <w:sz w:val="21"/>
                <w:highlight w:val="none"/>
                <w:lang w:eastAsia="zh-CN"/>
              </w:rPr>
              <w:t>布袋</w:t>
            </w:r>
            <w:r>
              <w:rPr>
                <w:rFonts w:hint="default" w:ascii="Times New Roman" w:hAnsi="Times New Roman" w:eastAsia="宋体" w:cs="Times New Roman"/>
                <w:color w:val="auto"/>
                <w:sz w:val="21"/>
                <w:highlight w:val="none"/>
                <w:lang w:val="en-US" w:eastAsia="zh-CN"/>
              </w:rPr>
              <w:t>产生量约0.</w:t>
            </w:r>
            <w:r>
              <w:rPr>
                <w:rFonts w:hint="eastAsia" w:cs="Times New Roman"/>
                <w:color w:val="auto"/>
                <w:sz w:val="21"/>
                <w:highlight w:val="none"/>
                <w:lang w:val="en-US" w:eastAsia="zh-CN"/>
              </w:rPr>
              <w:t>2</w:t>
            </w:r>
            <w:r>
              <w:rPr>
                <w:rFonts w:hint="default" w:ascii="Times New Roman" w:hAnsi="Times New Roman" w:eastAsia="宋体" w:cs="Times New Roman"/>
                <w:color w:val="auto"/>
                <w:sz w:val="21"/>
                <w:highlight w:val="none"/>
                <w:lang w:val="en-US" w:eastAsia="zh-CN"/>
              </w:rPr>
              <w:t>t/a，废弃布袋集中收集后交由厂家回收处理。</w:t>
            </w:r>
          </w:p>
          <w:p w14:paraId="199DDC9E">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lang w:val="en-US" w:eastAsia="zh-CN"/>
              </w:rPr>
            </w:pPr>
            <w:r>
              <w:rPr>
                <w:rFonts w:hint="eastAsia" w:cs="Times New Roman"/>
                <w:color w:val="auto"/>
                <w:sz w:val="21"/>
                <w:highlight w:val="none"/>
                <w:lang w:val="en-US" w:eastAsia="zh-CN"/>
              </w:rPr>
              <w:t>4</w:t>
            </w:r>
            <w:r>
              <w:rPr>
                <w:rFonts w:hint="default" w:ascii="Times New Roman" w:hAnsi="Times New Roman" w:eastAsia="宋体" w:cs="Times New Roman"/>
                <w:color w:val="auto"/>
                <w:sz w:val="21"/>
                <w:highlight w:val="none"/>
                <w:lang w:eastAsia="zh-CN"/>
              </w:rPr>
              <w:t>）</w:t>
            </w:r>
            <w:r>
              <w:rPr>
                <w:rFonts w:hint="default" w:ascii="Times New Roman" w:hAnsi="Times New Roman" w:eastAsia="宋体" w:cs="Times New Roman"/>
                <w:color w:val="auto"/>
                <w:sz w:val="21"/>
                <w:highlight w:val="none"/>
                <w:lang w:val="en-US" w:eastAsia="zh-CN"/>
              </w:rPr>
              <w:t>废</w:t>
            </w:r>
            <w:r>
              <w:rPr>
                <w:rFonts w:hint="eastAsia" w:cs="Times New Roman"/>
                <w:color w:val="auto"/>
                <w:sz w:val="21"/>
                <w:highlight w:val="none"/>
                <w:lang w:val="en-US" w:eastAsia="zh-CN"/>
              </w:rPr>
              <w:t>反渗透膜</w:t>
            </w:r>
          </w:p>
          <w:p w14:paraId="0A99ECC2">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本项目锅炉软化水处理工艺采</w:t>
            </w:r>
            <w:r>
              <w:rPr>
                <w:rFonts w:hint="eastAsia" w:cs="Times New Roman"/>
                <w:color w:val="auto"/>
                <w:sz w:val="21"/>
                <w:highlight w:val="none"/>
                <w:lang w:val="en-US" w:eastAsia="zh-CN"/>
              </w:rPr>
              <w:t>用RO反渗透</w:t>
            </w:r>
            <w:r>
              <w:rPr>
                <w:rFonts w:hint="default" w:ascii="Times New Roman" w:hAnsi="Times New Roman" w:eastAsia="宋体" w:cs="Times New Roman"/>
                <w:color w:val="auto"/>
                <w:sz w:val="21"/>
                <w:highlight w:val="none"/>
                <w:lang w:val="en-US" w:eastAsia="zh-CN"/>
              </w:rPr>
              <w:t>，废</w:t>
            </w:r>
            <w:r>
              <w:rPr>
                <w:rFonts w:hint="eastAsia" w:cs="Times New Roman"/>
                <w:color w:val="auto"/>
                <w:sz w:val="21"/>
                <w:highlight w:val="none"/>
                <w:lang w:val="en-US" w:eastAsia="zh-CN"/>
              </w:rPr>
              <w:t>反渗透膜</w:t>
            </w:r>
            <w:r>
              <w:rPr>
                <w:rFonts w:hint="default" w:ascii="Times New Roman" w:hAnsi="Times New Roman" w:eastAsia="宋体" w:cs="Times New Roman"/>
                <w:color w:val="auto"/>
                <w:sz w:val="21"/>
                <w:highlight w:val="none"/>
                <w:lang w:val="en-US" w:eastAsia="zh-CN"/>
              </w:rPr>
              <w:t>产生量为0.5t/a，废</w:t>
            </w:r>
            <w:r>
              <w:rPr>
                <w:rFonts w:hint="eastAsia" w:cs="Times New Roman"/>
                <w:color w:val="auto"/>
                <w:sz w:val="21"/>
                <w:highlight w:val="none"/>
                <w:lang w:val="en-US" w:eastAsia="zh-CN"/>
              </w:rPr>
              <w:t>反渗透膜</w:t>
            </w:r>
            <w:r>
              <w:rPr>
                <w:rFonts w:hint="default" w:ascii="Times New Roman" w:hAnsi="Times New Roman" w:eastAsia="宋体" w:cs="Times New Roman"/>
                <w:color w:val="auto"/>
                <w:sz w:val="21"/>
                <w:highlight w:val="none"/>
                <w:lang w:val="en-US" w:eastAsia="zh-CN"/>
              </w:rPr>
              <w:t>产生后由厂家回收。</w:t>
            </w:r>
          </w:p>
          <w:p w14:paraId="5EF21E1D">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综上所述，本项目固体废物经过上述措施治理后，能够得到妥善处置，不会对周边环境产生不良影响。</w:t>
            </w:r>
          </w:p>
          <w:p w14:paraId="5B13C978">
            <w:pPr>
              <w:pStyle w:val="1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color w:val="auto"/>
                <w:sz w:val="21"/>
                <w:szCs w:val="22"/>
                <w:highlight w:val="none"/>
              </w:rPr>
            </w:pPr>
            <w:r>
              <w:rPr>
                <w:rFonts w:hint="default" w:ascii="Times New Roman" w:hAnsi="Times New Roman" w:eastAsia="宋体" w:cs="Times New Roman"/>
                <w:b/>
                <w:bCs/>
                <w:color w:val="auto"/>
                <w:sz w:val="21"/>
                <w:szCs w:val="20"/>
                <w:highlight w:val="none"/>
              </w:rPr>
              <w:t>表4-</w:t>
            </w:r>
            <w:r>
              <w:rPr>
                <w:rFonts w:hint="default" w:ascii="Times New Roman" w:hAnsi="Times New Roman" w:eastAsia="宋体" w:cs="Times New Roman"/>
                <w:b/>
                <w:bCs/>
                <w:color w:val="auto"/>
                <w:sz w:val="21"/>
                <w:szCs w:val="20"/>
                <w:highlight w:val="none"/>
                <w:lang w:val="en-US" w:eastAsia="zh-CN"/>
              </w:rPr>
              <w:t>1</w:t>
            </w:r>
            <w:r>
              <w:rPr>
                <w:rFonts w:hint="eastAsia" w:cs="Times New Roman"/>
                <w:b/>
                <w:bCs/>
                <w:color w:val="auto"/>
                <w:sz w:val="21"/>
                <w:szCs w:val="20"/>
                <w:highlight w:val="none"/>
                <w:lang w:val="en-US" w:eastAsia="zh-CN"/>
              </w:rPr>
              <w:t>1</w:t>
            </w:r>
            <w:r>
              <w:rPr>
                <w:rFonts w:hint="default" w:ascii="Times New Roman" w:hAnsi="Times New Roman" w:eastAsia="宋体" w:cs="Times New Roman"/>
                <w:b/>
                <w:bCs/>
                <w:color w:val="auto"/>
                <w:sz w:val="21"/>
                <w:szCs w:val="20"/>
                <w:highlight w:val="none"/>
                <w:lang w:val="en-US" w:eastAsia="zh-CN"/>
              </w:rPr>
              <w:t xml:space="preserve"> </w:t>
            </w:r>
            <w:r>
              <w:rPr>
                <w:rFonts w:hint="default" w:ascii="Times New Roman" w:hAnsi="Times New Roman" w:eastAsia="宋体" w:cs="Times New Roman"/>
                <w:b/>
                <w:bCs/>
                <w:color w:val="auto"/>
                <w:sz w:val="21"/>
                <w:szCs w:val="20"/>
                <w:highlight w:val="none"/>
              </w:rPr>
              <w:t>固体废</w:t>
            </w:r>
            <w:r>
              <w:rPr>
                <w:rFonts w:hint="default" w:ascii="Times New Roman" w:hAnsi="Times New Roman" w:eastAsia="宋体" w:cs="Times New Roman"/>
                <w:b/>
                <w:bCs/>
                <w:color w:val="auto"/>
                <w:sz w:val="21"/>
                <w:szCs w:val="22"/>
                <w:highlight w:val="none"/>
              </w:rPr>
              <w:t>物污染源源强核算结果及相关参数一览表</w:t>
            </w:r>
          </w:p>
          <w:tbl>
            <w:tblPr>
              <w:tblStyle w:val="42"/>
              <w:tblW w:w="4932"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4"/>
              <w:gridCol w:w="1726"/>
              <w:gridCol w:w="914"/>
              <w:gridCol w:w="542"/>
              <w:gridCol w:w="660"/>
              <w:gridCol w:w="735"/>
              <w:gridCol w:w="705"/>
              <w:gridCol w:w="884"/>
              <w:gridCol w:w="1245"/>
            </w:tblGrid>
            <w:tr w14:paraId="5A35F2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538" w:type="pct"/>
                  <w:noWrap w:val="0"/>
                  <w:vAlign w:val="center"/>
                </w:tcPr>
                <w:p w14:paraId="63941025">
                  <w:pPr>
                    <w:tabs>
                      <w:tab w:val="center" w:pos="4153"/>
                      <w:tab w:val="right" w:pos="8306"/>
                    </w:tabs>
                    <w:jc w:val="center"/>
                    <w:rPr>
                      <w:rFonts w:hint="eastAsia" w:ascii="Times New Roman" w:hAnsi="Times New Roman" w:eastAsia="宋体" w:cs="Times New Roman"/>
                      <w:snapToGrid w:val="0"/>
                      <w:color w:val="auto"/>
                      <w:sz w:val="21"/>
                      <w:szCs w:val="21"/>
                      <w:highlight w:val="none"/>
                      <w:lang w:eastAsia="zh-CN"/>
                    </w:rPr>
                  </w:pPr>
                  <w:r>
                    <w:rPr>
                      <w:rFonts w:hint="eastAsia" w:cs="Times New Roman"/>
                      <w:snapToGrid w:val="0"/>
                      <w:color w:val="auto"/>
                      <w:sz w:val="21"/>
                      <w:szCs w:val="21"/>
                      <w:highlight w:val="none"/>
                      <w:lang w:val="en-US" w:eastAsia="zh-CN"/>
                    </w:rPr>
                    <w:t>产物环节</w:t>
                  </w:r>
                </w:p>
              </w:tc>
              <w:tc>
                <w:tcPr>
                  <w:tcW w:w="1038" w:type="pct"/>
                  <w:noWrap w:val="0"/>
                  <w:vAlign w:val="center"/>
                </w:tcPr>
                <w:p w14:paraId="7B87C425">
                  <w:pPr>
                    <w:tabs>
                      <w:tab w:val="center" w:pos="4153"/>
                      <w:tab w:val="right" w:pos="8306"/>
                    </w:tabs>
                    <w:jc w:val="center"/>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固体废物名称</w:t>
                  </w:r>
                </w:p>
              </w:tc>
              <w:tc>
                <w:tcPr>
                  <w:tcW w:w="550" w:type="pct"/>
                  <w:noWrap w:val="0"/>
                  <w:vAlign w:val="center"/>
                </w:tcPr>
                <w:p w14:paraId="190B9512">
                  <w:pPr>
                    <w:tabs>
                      <w:tab w:val="center" w:pos="4153"/>
                      <w:tab w:val="right" w:pos="8306"/>
                    </w:tabs>
                    <w:jc w:val="center"/>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固废属性</w:t>
                  </w:r>
                </w:p>
              </w:tc>
              <w:tc>
                <w:tcPr>
                  <w:tcW w:w="326" w:type="pct"/>
                  <w:noWrap w:val="0"/>
                  <w:vAlign w:val="center"/>
                </w:tcPr>
                <w:p w14:paraId="78530E07">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物理性状</w:t>
                  </w:r>
                </w:p>
              </w:tc>
              <w:tc>
                <w:tcPr>
                  <w:tcW w:w="397" w:type="pct"/>
                  <w:noWrap w:val="0"/>
                  <w:vAlign w:val="center"/>
                </w:tcPr>
                <w:p w14:paraId="37A98F93">
                  <w:pPr>
                    <w:tabs>
                      <w:tab w:val="center" w:pos="4153"/>
                      <w:tab w:val="right" w:pos="8306"/>
                    </w:tabs>
                    <w:jc w:val="center"/>
                    <w:rPr>
                      <w:rFonts w:hint="default"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环境风险特征</w:t>
                  </w:r>
                </w:p>
              </w:tc>
              <w:tc>
                <w:tcPr>
                  <w:tcW w:w="442" w:type="pct"/>
                  <w:noWrap w:val="0"/>
                  <w:vAlign w:val="center"/>
                </w:tcPr>
                <w:p w14:paraId="2A9AFD2E">
                  <w:pPr>
                    <w:tabs>
                      <w:tab w:val="center" w:pos="4153"/>
                      <w:tab w:val="right" w:pos="8306"/>
                    </w:tabs>
                    <w:jc w:val="center"/>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产生量（t/a）</w:t>
                  </w:r>
                </w:p>
              </w:tc>
              <w:tc>
                <w:tcPr>
                  <w:tcW w:w="424" w:type="pct"/>
                  <w:noWrap w:val="0"/>
                  <w:vAlign w:val="center"/>
                </w:tcPr>
                <w:p w14:paraId="37B16D00">
                  <w:pPr>
                    <w:tabs>
                      <w:tab w:val="center" w:pos="4153"/>
                      <w:tab w:val="right" w:pos="8306"/>
                    </w:tabs>
                    <w:jc w:val="center"/>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处置量（t/a</w:t>
                  </w:r>
                </w:p>
              </w:tc>
              <w:tc>
                <w:tcPr>
                  <w:tcW w:w="532" w:type="pct"/>
                  <w:noWrap w:val="0"/>
                  <w:vAlign w:val="center"/>
                </w:tcPr>
                <w:p w14:paraId="5B92584C">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贮存方式</w:t>
                  </w:r>
                </w:p>
              </w:tc>
              <w:tc>
                <w:tcPr>
                  <w:tcW w:w="749" w:type="pct"/>
                  <w:noWrap w:val="0"/>
                  <w:vAlign w:val="center"/>
                </w:tcPr>
                <w:p w14:paraId="5DA39126">
                  <w:pPr>
                    <w:tabs>
                      <w:tab w:val="center" w:pos="4153"/>
                      <w:tab w:val="right" w:pos="8306"/>
                    </w:tabs>
                    <w:jc w:val="center"/>
                    <w:rPr>
                      <w:rFonts w:hint="default" w:ascii="Times New Roman" w:hAnsi="Times New Roman" w:eastAsia="宋体" w:cs="Times New Roman"/>
                      <w:snapToGrid w:val="0"/>
                      <w:color w:val="auto"/>
                      <w:sz w:val="21"/>
                      <w:szCs w:val="21"/>
                      <w:highlight w:val="none"/>
                    </w:rPr>
                  </w:pPr>
                  <w:r>
                    <w:rPr>
                      <w:rFonts w:hint="eastAsia" w:cs="Times New Roman"/>
                      <w:snapToGrid w:val="0"/>
                      <w:color w:val="auto"/>
                      <w:sz w:val="21"/>
                      <w:szCs w:val="21"/>
                      <w:highlight w:val="none"/>
                      <w:lang w:val="en-US" w:eastAsia="zh-CN"/>
                    </w:rPr>
                    <w:t>处置</w:t>
                  </w:r>
                  <w:r>
                    <w:rPr>
                      <w:rFonts w:hint="default" w:ascii="Times New Roman" w:hAnsi="Times New Roman" w:eastAsia="宋体" w:cs="Times New Roman"/>
                      <w:snapToGrid w:val="0"/>
                      <w:color w:val="auto"/>
                      <w:sz w:val="21"/>
                      <w:szCs w:val="21"/>
                      <w:highlight w:val="none"/>
                    </w:rPr>
                    <w:t>去向</w:t>
                  </w:r>
                </w:p>
              </w:tc>
            </w:tr>
            <w:tr w14:paraId="45D9C0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8" w:type="pct"/>
                  <w:noWrap w:val="0"/>
                  <w:vAlign w:val="center"/>
                </w:tcPr>
                <w:p w14:paraId="43C7E264">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布袋除尘器</w:t>
                  </w:r>
                </w:p>
              </w:tc>
              <w:tc>
                <w:tcPr>
                  <w:tcW w:w="1038" w:type="pct"/>
                  <w:noWrap w:val="0"/>
                  <w:vAlign w:val="center"/>
                </w:tcPr>
                <w:p w14:paraId="7E64668A">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废弃布袋</w:t>
                  </w:r>
                  <w:r>
                    <w:rPr>
                      <w:rFonts w:hint="eastAsia" w:cs="Times New Roman"/>
                      <w:snapToGrid w:val="0"/>
                      <w:color w:val="auto"/>
                      <w:sz w:val="21"/>
                      <w:szCs w:val="21"/>
                      <w:highlight w:val="none"/>
                      <w:lang w:val="en-US" w:eastAsia="zh-CN"/>
                    </w:rPr>
                    <w:t>（</w:t>
                  </w:r>
                  <w:r>
                    <w:rPr>
                      <w:rFonts w:hint="default" w:ascii="Times New Roman" w:hAnsi="Times New Roman" w:eastAsia="宋体" w:cs="Times New Roman"/>
                      <w:b w:val="0"/>
                      <w:bCs w:val="0"/>
                      <w:color w:val="auto"/>
                      <w:kern w:val="0"/>
                      <w:sz w:val="21"/>
                      <w:szCs w:val="21"/>
                      <w:highlight w:val="none"/>
                    </w:rPr>
                    <w:t>9</w:t>
                  </w:r>
                  <w:r>
                    <w:rPr>
                      <w:rFonts w:hint="default" w:ascii="Times New Roman" w:hAnsi="Times New Roman" w:eastAsia="宋体" w:cs="Times New Roman"/>
                      <w:b w:val="0"/>
                      <w:bCs w:val="0"/>
                      <w:color w:val="auto"/>
                      <w:spacing w:val="-6"/>
                      <w:kern w:val="2"/>
                      <w:sz w:val="21"/>
                      <w:szCs w:val="21"/>
                      <w:highlight w:val="none"/>
                      <w:lang w:val="en-US" w:eastAsia="zh-CN" w:bidi="ar-SA"/>
                    </w:rPr>
                    <w:t>00-009-S59</w:t>
                  </w:r>
                  <w:r>
                    <w:rPr>
                      <w:rFonts w:hint="eastAsia" w:cs="Times New Roman"/>
                      <w:snapToGrid w:val="0"/>
                      <w:color w:val="auto"/>
                      <w:sz w:val="21"/>
                      <w:szCs w:val="21"/>
                      <w:highlight w:val="none"/>
                      <w:lang w:val="en-US" w:eastAsia="zh-CN"/>
                    </w:rPr>
                    <w:t>）</w:t>
                  </w:r>
                </w:p>
              </w:tc>
              <w:tc>
                <w:tcPr>
                  <w:tcW w:w="550" w:type="pct"/>
                  <w:noWrap w:val="0"/>
                  <w:vAlign w:val="center"/>
                </w:tcPr>
                <w:p w14:paraId="72D63BDF">
                  <w:pPr>
                    <w:tabs>
                      <w:tab w:val="center" w:pos="4153"/>
                      <w:tab w:val="right" w:pos="8306"/>
                    </w:tabs>
                    <w:jc w:val="center"/>
                    <w:rPr>
                      <w:rFonts w:hint="default" w:ascii="Times New Roman" w:hAnsi="Times New Roman" w:eastAsia="宋体" w:cs="Times New Roman"/>
                      <w:snapToGrid w:val="0"/>
                      <w:color w:val="auto"/>
                      <w:sz w:val="21"/>
                      <w:szCs w:val="21"/>
                      <w:highlight w:val="none"/>
                      <w:lang w:eastAsia="zh-CN"/>
                    </w:rPr>
                  </w:pPr>
                  <w:r>
                    <w:rPr>
                      <w:rFonts w:hint="default" w:ascii="Times New Roman" w:hAnsi="Times New Roman" w:eastAsia="宋体" w:cs="Times New Roman"/>
                      <w:snapToGrid w:val="0"/>
                      <w:color w:val="auto"/>
                      <w:sz w:val="21"/>
                      <w:szCs w:val="21"/>
                      <w:highlight w:val="none"/>
                    </w:rPr>
                    <w:t>一般</w:t>
                  </w:r>
                  <w:r>
                    <w:rPr>
                      <w:rFonts w:hint="default" w:ascii="Times New Roman" w:hAnsi="Times New Roman" w:eastAsia="宋体" w:cs="Times New Roman"/>
                      <w:snapToGrid w:val="0"/>
                      <w:color w:val="auto"/>
                      <w:sz w:val="21"/>
                      <w:szCs w:val="21"/>
                      <w:highlight w:val="none"/>
                      <w:lang w:val="en-US" w:eastAsia="zh-CN"/>
                    </w:rPr>
                    <w:t>固废</w:t>
                  </w:r>
                </w:p>
              </w:tc>
              <w:tc>
                <w:tcPr>
                  <w:tcW w:w="326" w:type="pct"/>
                  <w:shd w:val="clear" w:color="auto" w:fill="auto"/>
                  <w:noWrap w:val="0"/>
                  <w:vAlign w:val="center"/>
                </w:tcPr>
                <w:p w14:paraId="304CFB9B">
                  <w:pPr>
                    <w:tabs>
                      <w:tab w:val="center" w:pos="4153"/>
                      <w:tab w:val="right" w:pos="8306"/>
                    </w:tabs>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cs="Times New Roman"/>
                      <w:snapToGrid w:val="0"/>
                      <w:color w:val="auto"/>
                      <w:kern w:val="2"/>
                      <w:sz w:val="21"/>
                      <w:szCs w:val="21"/>
                      <w:highlight w:val="none"/>
                      <w:lang w:val="en-US" w:eastAsia="zh-CN" w:bidi="ar-SA"/>
                    </w:rPr>
                    <w:t>固态</w:t>
                  </w:r>
                </w:p>
              </w:tc>
              <w:tc>
                <w:tcPr>
                  <w:tcW w:w="397" w:type="pct"/>
                  <w:noWrap w:val="0"/>
                  <w:vAlign w:val="center"/>
                </w:tcPr>
                <w:p w14:paraId="3B1B09B4">
                  <w:pPr>
                    <w:tabs>
                      <w:tab w:val="center" w:pos="4153"/>
                      <w:tab w:val="right" w:pos="8306"/>
                    </w:tabs>
                    <w:jc w:val="center"/>
                    <w:rPr>
                      <w:rFonts w:hint="default" w:cs="Times New Roman"/>
                      <w:snapToGrid w:val="0"/>
                      <w:color w:val="auto"/>
                      <w:kern w:val="2"/>
                      <w:sz w:val="21"/>
                      <w:szCs w:val="21"/>
                      <w:highlight w:val="none"/>
                      <w:lang w:val="en-US" w:eastAsia="zh-CN" w:bidi="ar-SA"/>
                    </w:rPr>
                  </w:pPr>
                  <w:r>
                    <w:rPr>
                      <w:rFonts w:hint="eastAsia" w:cs="Times New Roman"/>
                      <w:snapToGrid w:val="0"/>
                      <w:color w:val="auto"/>
                      <w:kern w:val="2"/>
                      <w:sz w:val="21"/>
                      <w:szCs w:val="21"/>
                      <w:highlight w:val="none"/>
                      <w:lang w:val="en-US" w:eastAsia="zh-CN" w:bidi="ar-SA"/>
                    </w:rPr>
                    <w:t>/</w:t>
                  </w:r>
                </w:p>
              </w:tc>
              <w:tc>
                <w:tcPr>
                  <w:tcW w:w="442" w:type="pct"/>
                  <w:noWrap w:val="0"/>
                  <w:vAlign w:val="center"/>
                </w:tcPr>
                <w:p w14:paraId="33E9DD5C">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0.2</w:t>
                  </w:r>
                  <w:r>
                    <w:rPr>
                      <w:rFonts w:hint="default" w:ascii="Times New Roman" w:hAnsi="Times New Roman" w:eastAsia="宋体" w:cs="Times New Roman"/>
                      <w:snapToGrid w:val="0"/>
                      <w:color w:val="auto"/>
                      <w:sz w:val="21"/>
                      <w:szCs w:val="21"/>
                      <w:highlight w:val="none"/>
                      <w:lang w:val="en-US" w:eastAsia="zh-CN"/>
                    </w:rPr>
                    <w:t>t/a</w:t>
                  </w:r>
                </w:p>
              </w:tc>
              <w:tc>
                <w:tcPr>
                  <w:tcW w:w="424" w:type="pct"/>
                  <w:noWrap w:val="0"/>
                  <w:vAlign w:val="center"/>
                </w:tcPr>
                <w:p w14:paraId="6C9CC249">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0.2</w:t>
                  </w:r>
                  <w:r>
                    <w:rPr>
                      <w:rFonts w:hint="default" w:ascii="Times New Roman" w:hAnsi="Times New Roman" w:eastAsia="宋体" w:cs="Times New Roman"/>
                      <w:snapToGrid w:val="0"/>
                      <w:color w:val="auto"/>
                      <w:sz w:val="21"/>
                      <w:szCs w:val="21"/>
                      <w:highlight w:val="none"/>
                      <w:lang w:val="en-US" w:eastAsia="zh-CN"/>
                    </w:rPr>
                    <w:t>t/a</w:t>
                  </w:r>
                </w:p>
              </w:tc>
              <w:tc>
                <w:tcPr>
                  <w:tcW w:w="532" w:type="pct"/>
                  <w:noWrap w:val="0"/>
                  <w:vAlign w:val="center"/>
                </w:tcPr>
                <w:p w14:paraId="7E7A75E4">
                  <w:pPr>
                    <w:tabs>
                      <w:tab w:val="center" w:pos="4153"/>
                      <w:tab w:val="right" w:pos="8306"/>
                    </w:tabs>
                    <w:jc w:val="center"/>
                    <w:rPr>
                      <w:rFonts w:hint="default"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不暂存</w:t>
                  </w:r>
                </w:p>
              </w:tc>
              <w:tc>
                <w:tcPr>
                  <w:tcW w:w="749" w:type="pct"/>
                  <w:noWrap w:val="0"/>
                  <w:vAlign w:val="center"/>
                </w:tcPr>
                <w:p w14:paraId="0579ABB2">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color w:val="auto"/>
                      <w:sz w:val="21"/>
                      <w:highlight w:val="none"/>
                      <w:lang w:val="en-US" w:eastAsia="zh-CN"/>
                    </w:rPr>
                    <w:t>更换后</w:t>
                  </w:r>
                  <w:r>
                    <w:rPr>
                      <w:rFonts w:hint="eastAsia" w:cs="Times New Roman"/>
                      <w:color w:val="auto"/>
                      <w:sz w:val="21"/>
                      <w:highlight w:val="none"/>
                      <w:lang w:val="en-US" w:eastAsia="zh-CN"/>
                    </w:rPr>
                    <w:t>交</w:t>
                  </w:r>
                  <w:r>
                    <w:rPr>
                      <w:rFonts w:hint="default" w:ascii="Times New Roman" w:hAnsi="Times New Roman" w:eastAsia="宋体" w:cs="Times New Roman"/>
                      <w:color w:val="auto"/>
                      <w:sz w:val="21"/>
                      <w:highlight w:val="none"/>
                      <w:lang w:val="en-US" w:eastAsia="zh-CN"/>
                    </w:rPr>
                    <w:t>由厂家</w:t>
                  </w:r>
                  <w:r>
                    <w:rPr>
                      <w:rFonts w:hint="eastAsia" w:cs="Times New Roman"/>
                      <w:color w:val="auto"/>
                      <w:sz w:val="21"/>
                      <w:highlight w:val="none"/>
                      <w:lang w:val="en-US" w:eastAsia="zh-CN"/>
                    </w:rPr>
                    <w:t>处理</w:t>
                  </w:r>
                </w:p>
              </w:tc>
            </w:tr>
            <w:tr w14:paraId="5CA79E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8" w:type="pct"/>
                  <w:noWrap w:val="0"/>
                  <w:vAlign w:val="center"/>
                </w:tcPr>
                <w:p w14:paraId="632901C0">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软化水处理</w:t>
                  </w:r>
                </w:p>
              </w:tc>
              <w:tc>
                <w:tcPr>
                  <w:tcW w:w="1038" w:type="pct"/>
                  <w:noWrap w:val="0"/>
                  <w:vAlign w:val="center"/>
                </w:tcPr>
                <w:p w14:paraId="75C80265">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废</w:t>
                  </w:r>
                  <w:r>
                    <w:rPr>
                      <w:rFonts w:hint="eastAsia" w:cs="Times New Roman"/>
                      <w:snapToGrid w:val="0"/>
                      <w:color w:val="auto"/>
                      <w:sz w:val="21"/>
                      <w:szCs w:val="21"/>
                      <w:highlight w:val="none"/>
                      <w:lang w:val="en-US" w:eastAsia="zh-CN"/>
                    </w:rPr>
                    <w:t>反渗透膜（</w:t>
                  </w:r>
                  <w:r>
                    <w:rPr>
                      <w:rFonts w:hint="default" w:ascii="Times New Roman" w:hAnsi="Times New Roman" w:eastAsia="宋体" w:cs="Times New Roman"/>
                      <w:color w:val="auto"/>
                      <w:kern w:val="0"/>
                      <w:sz w:val="21"/>
                      <w:szCs w:val="21"/>
                      <w:highlight w:val="none"/>
                      <w:lang w:val="en-US" w:eastAsia="zh-CN" w:bidi="ar"/>
                    </w:rPr>
                    <w:t>900-00</w:t>
                  </w:r>
                  <w:r>
                    <w:rPr>
                      <w:rFonts w:hint="eastAsia" w:cs="Times New Roman"/>
                      <w:color w:val="auto"/>
                      <w:kern w:val="0"/>
                      <w:sz w:val="21"/>
                      <w:szCs w:val="21"/>
                      <w:highlight w:val="none"/>
                      <w:lang w:val="en-US" w:eastAsia="zh-CN" w:bidi="ar"/>
                    </w:rPr>
                    <w:t>9</w:t>
                  </w:r>
                  <w:r>
                    <w:rPr>
                      <w:rFonts w:hint="default" w:ascii="Times New Roman" w:hAnsi="Times New Roman" w:eastAsia="宋体" w:cs="Times New Roman"/>
                      <w:color w:val="auto"/>
                      <w:kern w:val="0"/>
                      <w:sz w:val="21"/>
                      <w:szCs w:val="21"/>
                      <w:highlight w:val="none"/>
                      <w:lang w:val="en-US" w:eastAsia="zh-CN" w:bidi="ar"/>
                    </w:rPr>
                    <w:t>-S59</w:t>
                  </w:r>
                  <w:r>
                    <w:rPr>
                      <w:rFonts w:hint="eastAsia" w:cs="Times New Roman"/>
                      <w:snapToGrid w:val="0"/>
                      <w:color w:val="auto"/>
                      <w:sz w:val="21"/>
                      <w:szCs w:val="21"/>
                      <w:highlight w:val="none"/>
                      <w:lang w:val="en-US" w:eastAsia="zh-CN"/>
                    </w:rPr>
                    <w:t>）</w:t>
                  </w:r>
                </w:p>
              </w:tc>
              <w:tc>
                <w:tcPr>
                  <w:tcW w:w="550" w:type="pct"/>
                  <w:noWrap w:val="0"/>
                  <w:vAlign w:val="center"/>
                </w:tcPr>
                <w:p w14:paraId="451F9AC8">
                  <w:pPr>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rPr>
                    <w:t>一般</w:t>
                  </w:r>
                  <w:r>
                    <w:rPr>
                      <w:rFonts w:hint="default" w:ascii="Times New Roman" w:hAnsi="Times New Roman" w:eastAsia="宋体" w:cs="Times New Roman"/>
                      <w:snapToGrid w:val="0"/>
                      <w:color w:val="auto"/>
                      <w:sz w:val="21"/>
                      <w:szCs w:val="21"/>
                      <w:highlight w:val="none"/>
                      <w:lang w:val="en-US" w:eastAsia="zh-CN"/>
                    </w:rPr>
                    <w:t>固废</w:t>
                  </w:r>
                </w:p>
              </w:tc>
              <w:tc>
                <w:tcPr>
                  <w:tcW w:w="326" w:type="pct"/>
                  <w:shd w:val="clear" w:color="auto" w:fill="auto"/>
                  <w:noWrap w:val="0"/>
                  <w:vAlign w:val="center"/>
                </w:tcPr>
                <w:p w14:paraId="42900986">
                  <w:pPr>
                    <w:tabs>
                      <w:tab w:val="center" w:pos="4153"/>
                      <w:tab w:val="right" w:pos="8306"/>
                    </w:tabs>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cs="Times New Roman"/>
                      <w:snapToGrid w:val="0"/>
                      <w:color w:val="auto"/>
                      <w:kern w:val="2"/>
                      <w:sz w:val="21"/>
                      <w:szCs w:val="21"/>
                      <w:highlight w:val="none"/>
                      <w:lang w:val="en-US" w:eastAsia="zh-CN" w:bidi="ar-SA"/>
                    </w:rPr>
                    <w:t>固态</w:t>
                  </w:r>
                </w:p>
              </w:tc>
              <w:tc>
                <w:tcPr>
                  <w:tcW w:w="397" w:type="pct"/>
                  <w:noWrap w:val="0"/>
                  <w:vAlign w:val="center"/>
                </w:tcPr>
                <w:p w14:paraId="53253B9C">
                  <w:pPr>
                    <w:tabs>
                      <w:tab w:val="center" w:pos="4153"/>
                      <w:tab w:val="right" w:pos="8306"/>
                    </w:tabs>
                    <w:jc w:val="center"/>
                    <w:rPr>
                      <w:rFonts w:hint="default" w:cs="Times New Roman"/>
                      <w:snapToGrid w:val="0"/>
                      <w:color w:val="auto"/>
                      <w:kern w:val="2"/>
                      <w:sz w:val="21"/>
                      <w:szCs w:val="21"/>
                      <w:highlight w:val="none"/>
                      <w:lang w:val="en-US" w:eastAsia="zh-CN" w:bidi="ar-SA"/>
                    </w:rPr>
                  </w:pPr>
                  <w:r>
                    <w:rPr>
                      <w:rFonts w:hint="eastAsia" w:cs="Times New Roman"/>
                      <w:snapToGrid w:val="0"/>
                      <w:color w:val="auto"/>
                      <w:kern w:val="2"/>
                      <w:sz w:val="21"/>
                      <w:szCs w:val="21"/>
                      <w:highlight w:val="none"/>
                      <w:lang w:val="en-US" w:eastAsia="zh-CN" w:bidi="ar-SA"/>
                    </w:rPr>
                    <w:t>/</w:t>
                  </w:r>
                </w:p>
              </w:tc>
              <w:tc>
                <w:tcPr>
                  <w:tcW w:w="442" w:type="pct"/>
                  <w:noWrap w:val="0"/>
                  <w:vAlign w:val="center"/>
                </w:tcPr>
                <w:p w14:paraId="73FEBE67">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0.5t/a</w:t>
                  </w:r>
                </w:p>
              </w:tc>
              <w:tc>
                <w:tcPr>
                  <w:tcW w:w="424" w:type="pct"/>
                  <w:noWrap w:val="0"/>
                  <w:vAlign w:val="center"/>
                </w:tcPr>
                <w:p w14:paraId="75950527">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0.5t/a</w:t>
                  </w:r>
                </w:p>
              </w:tc>
              <w:tc>
                <w:tcPr>
                  <w:tcW w:w="532" w:type="pct"/>
                  <w:noWrap w:val="0"/>
                  <w:vAlign w:val="center"/>
                </w:tcPr>
                <w:p w14:paraId="1D20088E">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不暂存</w:t>
                  </w:r>
                </w:p>
              </w:tc>
              <w:tc>
                <w:tcPr>
                  <w:tcW w:w="749" w:type="pct"/>
                  <w:noWrap w:val="0"/>
                  <w:vAlign w:val="center"/>
                </w:tcPr>
                <w:p w14:paraId="30382C10">
                  <w:pPr>
                    <w:tabs>
                      <w:tab w:val="center" w:pos="4153"/>
                      <w:tab w:val="right" w:pos="8306"/>
                    </w:tabs>
                    <w:jc w:val="center"/>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lang w:val="en-US" w:eastAsia="zh-CN"/>
                    </w:rPr>
                    <w:t>更换后</w:t>
                  </w:r>
                  <w:r>
                    <w:rPr>
                      <w:rFonts w:hint="eastAsia" w:cs="Times New Roman"/>
                      <w:color w:val="auto"/>
                      <w:sz w:val="21"/>
                      <w:highlight w:val="none"/>
                      <w:lang w:val="en-US" w:eastAsia="zh-CN"/>
                    </w:rPr>
                    <w:t>交</w:t>
                  </w:r>
                  <w:r>
                    <w:rPr>
                      <w:rFonts w:hint="default" w:ascii="Times New Roman" w:hAnsi="Times New Roman" w:eastAsia="宋体" w:cs="Times New Roman"/>
                      <w:color w:val="auto"/>
                      <w:sz w:val="21"/>
                      <w:highlight w:val="none"/>
                      <w:lang w:val="en-US" w:eastAsia="zh-CN"/>
                    </w:rPr>
                    <w:t>由厂家</w:t>
                  </w:r>
                  <w:r>
                    <w:rPr>
                      <w:rFonts w:hint="eastAsia" w:cs="Times New Roman"/>
                      <w:color w:val="auto"/>
                      <w:sz w:val="21"/>
                      <w:highlight w:val="none"/>
                      <w:lang w:val="en-US" w:eastAsia="zh-CN"/>
                    </w:rPr>
                    <w:t>处理</w:t>
                  </w:r>
                </w:p>
              </w:tc>
            </w:tr>
            <w:tr w14:paraId="6C33F1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538" w:type="pct"/>
                  <w:vMerge w:val="restart"/>
                  <w:noWrap w:val="0"/>
                  <w:vAlign w:val="center"/>
                </w:tcPr>
                <w:p w14:paraId="57DB58A2">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snapToGrid w:val="0"/>
                      <w:color w:val="auto"/>
                      <w:sz w:val="21"/>
                      <w:szCs w:val="21"/>
                      <w:highlight w:val="none"/>
                      <w:lang w:val="en-US" w:eastAsia="zh-CN"/>
                    </w:rPr>
                    <w:t>生物质锅炉</w:t>
                  </w:r>
                </w:p>
              </w:tc>
              <w:tc>
                <w:tcPr>
                  <w:tcW w:w="1038" w:type="pct"/>
                  <w:noWrap w:val="0"/>
                  <w:vAlign w:val="center"/>
                </w:tcPr>
                <w:p w14:paraId="4C5A76BB">
                  <w:pPr>
                    <w:tabs>
                      <w:tab w:val="center" w:pos="4153"/>
                      <w:tab w:val="right" w:pos="8306"/>
                    </w:tabs>
                    <w:jc w:val="center"/>
                    <w:rPr>
                      <w:rFonts w:hint="eastAsia" w:ascii="Times New Roman" w:hAnsi="Times New Roman" w:eastAsia="宋体" w:cs="Times New Roman"/>
                      <w:snapToGrid w:val="0"/>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锅炉</w:t>
                  </w:r>
                  <w:r>
                    <w:rPr>
                      <w:rFonts w:hint="eastAsia" w:cs="Times New Roman"/>
                      <w:bCs/>
                      <w:color w:val="auto"/>
                      <w:sz w:val="21"/>
                      <w:szCs w:val="21"/>
                      <w:highlight w:val="none"/>
                      <w:lang w:val="en-US" w:eastAsia="zh-CN"/>
                    </w:rPr>
                    <w:t>炉渣（</w:t>
                  </w:r>
                  <w:r>
                    <w:rPr>
                      <w:rFonts w:hint="default" w:ascii="Times New Roman" w:hAnsi="Times New Roman" w:eastAsia="宋体" w:cs="Times New Roman"/>
                      <w:color w:val="auto"/>
                      <w:kern w:val="0"/>
                      <w:sz w:val="21"/>
                      <w:szCs w:val="21"/>
                      <w:highlight w:val="none"/>
                      <w:lang w:val="en-US" w:eastAsia="zh-CN" w:bidi="ar"/>
                    </w:rPr>
                    <w:t>900-099-S03</w:t>
                  </w:r>
                  <w:r>
                    <w:rPr>
                      <w:rFonts w:hint="eastAsia" w:cs="Times New Roman"/>
                      <w:bCs/>
                      <w:color w:val="auto"/>
                      <w:sz w:val="21"/>
                      <w:szCs w:val="21"/>
                      <w:highlight w:val="none"/>
                      <w:lang w:val="en-US" w:eastAsia="zh-CN"/>
                    </w:rPr>
                    <w:t>）</w:t>
                  </w:r>
                </w:p>
              </w:tc>
              <w:tc>
                <w:tcPr>
                  <w:tcW w:w="550" w:type="pct"/>
                  <w:noWrap w:val="0"/>
                  <w:vAlign w:val="center"/>
                </w:tcPr>
                <w:p w14:paraId="56773F10">
                  <w:pPr>
                    <w:jc w:val="center"/>
                    <w:rPr>
                      <w:rFonts w:hint="default" w:ascii="Times New Roman" w:hAnsi="Times New Roman" w:eastAsia="宋体" w:cs="Times New Roman"/>
                      <w:snapToGrid w:val="0"/>
                      <w:color w:val="auto"/>
                      <w:sz w:val="21"/>
                      <w:szCs w:val="21"/>
                      <w:highlight w:val="none"/>
                    </w:rPr>
                  </w:pPr>
                  <w:r>
                    <w:rPr>
                      <w:rFonts w:hint="default" w:ascii="Times New Roman" w:hAnsi="Times New Roman" w:eastAsia="宋体" w:cs="Times New Roman"/>
                      <w:snapToGrid w:val="0"/>
                      <w:color w:val="auto"/>
                      <w:sz w:val="21"/>
                      <w:szCs w:val="21"/>
                      <w:highlight w:val="none"/>
                    </w:rPr>
                    <w:t>一般</w:t>
                  </w:r>
                  <w:r>
                    <w:rPr>
                      <w:rFonts w:hint="default" w:ascii="Times New Roman" w:hAnsi="Times New Roman" w:eastAsia="宋体" w:cs="Times New Roman"/>
                      <w:snapToGrid w:val="0"/>
                      <w:color w:val="auto"/>
                      <w:sz w:val="21"/>
                      <w:szCs w:val="21"/>
                      <w:highlight w:val="none"/>
                      <w:lang w:val="en-US" w:eastAsia="zh-CN"/>
                    </w:rPr>
                    <w:t>固废</w:t>
                  </w:r>
                </w:p>
              </w:tc>
              <w:tc>
                <w:tcPr>
                  <w:tcW w:w="326" w:type="pct"/>
                  <w:shd w:val="clear" w:color="auto" w:fill="auto"/>
                  <w:noWrap w:val="0"/>
                  <w:vAlign w:val="center"/>
                </w:tcPr>
                <w:p w14:paraId="069CAA30">
                  <w:pPr>
                    <w:tabs>
                      <w:tab w:val="center" w:pos="4153"/>
                      <w:tab w:val="right" w:pos="8306"/>
                    </w:tabs>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cs="Times New Roman"/>
                      <w:snapToGrid w:val="0"/>
                      <w:color w:val="auto"/>
                      <w:kern w:val="2"/>
                      <w:sz w:val="21"/>
                      <w:szCs w:val="21"/>
                      <w:highlight w:val="none"/>
                      <w:lang w:val="en-US" w:eastAsia="zh-CN" w:bidi="ar-SA"/>
                    </w:rPr>
                    <w:t>固态</w:t>
                  </w:r>
                </w:p>
              </w:tc>
              <w:tc>
                <w:tcPr>
                  <w:tcW w:w="397" w:type="pct"/>
                  <w:noWrap w:val="0"/>
                  <w:vAlign w:val="center"/>
                </w:tcPr>
                <w:p w14:paraId="54A58F29">
                  <w:pPr>
                    <w:tabs>
                      <w:tab w:val="center" w:pos="4153"/>
                      <w:tab w:val="right" w:pos="8306"/>
                    </w:tabs>
                    <w:jc w:val="center"/>
                    <w:rPr>
                      <w:rFonts w:hint="default" w:cs="Times New Roman"/>
                      <w:snapToGrid w:val="0"/>
                      <w:color w:val="auto"/>
                      <w:kern w:val="2"/>
                      <w:sz w:val="21"/>
                      <w:szCs w:val="21"/>
                      <w:highlight w:val="none"/>
                      <w:lang w:val="en-US" w:eastAsia="zh-CN" w:bidi="ar-SA"/>
                    </w:rPr>
                  </w:pPr>
                  <w:r>
                    <w:rPr>
                      <w:rFonts w:hint="eastAsia" w:cs="Times New Roman"/>
                      <w:snapToGrid w:val="0"/>
                      <w:color w:val="auto"/>
                      <w:kern w:val="2"/>
                      <w:sz w:val="21"/>
                      <w:szCs w:val="21"/>
                      <w:highlight w:val="none"/>
                      <w:lang w:val="en-US" w:eastAsia="zh-CN" w:bidi="ar-SA"/>
                    </w:rPr>
                    <w:t>/</w:t>
                  </w:r>
                </w:p>
              </w:tc>
              <w:tc>
                <w:tcPr>
                  <w:tcW w:w="442" w:type="pct"/>
                  <w:noWrap w:val="0"/>
                  <w:vAlign w:val="center"/>
                </w:tcPr>
                <w:p w14:paraId="78FDE692">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249.86</w:t>
                  </w:r>
                  <w:r>
                    <w:rPr>
                      <w:rFonts w:hint="default" w:ascii="Times New Roman" w:hAnsi="Times New Roman" w:eastAsia="宋体" w:cs="Times New Roman"/>
                      <w:snapToGrid w:val="0"/>
                      <w:color w:val="auto"/>
                      <w:sz w:val="21"/>
                      <w:szCs w:val="21"/>
                      <w:highlight w:val="none"/>
                      <w:lang w:val="en-US" w:eastAsia="zh-CN"/>
                    </w:rPr>
                    <w:t>t/a</w:t>
                  </w:r>
                </w:p>
              </w:tc>
              <w:tc>
                <w:tcPr>
                  <w:tcW w:w="424" w:type="pct"/>
                  <w:noWrap w:val="0"/>
                  <w:vAlign w:val="center"/>
                </w:tcPr>
                <w:p w14:paraId="045B0BFD">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rPr>
                  </w:pPr>
                  <w:r>
                    <w:rPr>
                      <w:rFonts w:hint="eastAsia" w:cs="Times New Roman"/>
                      <w:snapToGrid w:val="0"/>
                      <w:color w:val="auto"/>
                      <w:sz w:val="21"/>
                      <w:szCs w:val="21"/>
                      <w:highlight w:val="none"/>
                      <w:lang w:val="en-US" w:eastAsia="zh-CN"/>
                    </w:rPr>
                    <w:t>249.86</w:t>
                  </w:r>
                  <w:r>
                    <w:rPr>
                      <w:rFonts w:hint="default" w:ascii="Times New Roman" w:hAnsi="Times New Roman" w:eastAsia="宋体" w:cs="Times New Roman"/>
                      <w:snapToGrid w:val="0"/>
                      <w:color w:val="auto"/>
                      <w:sz w:val="21"/>
                      <w:szCs w:val="21"/>
                      <w:highlight w:val="none"/>
                      <w:lang w:val="en-US" w:eastAsia="zh-CN"/>
                    </w:rPr>
                    <w:t>t/a</w:t>
                  </w:r>
                </w:p>
              </w:tc>
              <w:tc>
                <w:tcPr>
                  <w:tcW w:w="532" w:type="pct"/>
                  <w:noWrap w:val="0"/>
                  <w:vAlign w:val="center"/>
                </w:tcPr>
                <w:p w14:paraId="18E370E0">
                  <w:pPr>
                    <w:tabs>
                      <w:tab w:val="center" w:pos="4153"/>
                      <w:tab w:val="right" w:pos="8306"/>
                    </w:tabs>
                    <w:jc w:val="center"/>
                    <w:rPr>
                      <w:rFonts w:hint="eastAsia" w:cs="Times New Roman"/>
                      <w:snapToGrid w:val="0"/>
                      <w:color w:val="auto"/>
                      <w:sz w:val="21"/>
                      <w:szCs w:val="21"/>
                      <w:highlight w:val="none"/>
                      <w:lang w:val="en-US" w:eastAsia="zh-CN"/>
                    </w:rPr>
                  </w:pPr>
                  <w:r>
                    <w:rPr>
                      <w:rFonts w:hint="default" w:ascii="Times New Roman" w:hAnsi="Times New Roman" w:cs="Times New Roman"/>
                      <w:color w:val="auto"/>
                      <w:szCs w:val="21"/>
                    </w:rPr>
                    <w:t>暂存于灰渣</w:t>
                  </w:r>
                  <w:r>
                    <w:rPr>
                      <w:rFonts w:hint="eastAsia" w:ascii="Times New Roman" w:hAnsi="Times New Roman" w:cs="Times New Roman"/>
                      <w:color w:val="auto"/>
                      <w:szCs w:val="21"/>
                      <w:lang w:val="en-US" w:eastAsia="zh-CN"/>
                    </w:rPr>
                    <w:t>储存</w:t>
                  </w:r>
                  <w:r>
                    <w:rPr>
                      <w:rFonts w:hint="default" w:ascii="Times New Roman" w:hAnsi="Times New Roman" w:cs="Times New Roman"/>
                      <w:color w:val="auto"/>
                      <w:szCs w:val="21"/>
                      <w:lang w:val="en-US" w:eastAsia="zh-CN"/>
                    </w:rPr>
                    <w:t>库</w:t>
                  </w:r>
                </w:p>
              </w:tc>
              <w:tc>
                <w:tcPr>
                  <w:tcW w:w="749" w:type="pct"/>
                  <w:noWrap w:val="0"/>
                  <w:vAlign w:val="center"/>
                </w:tcPr>
                <w:p w14:paraId="53CD273F">
                  <w:pPr>
                    <w:tabs>
                      <w:tab w:val="center" w:pos="4153"/>
                      <w:tab w:val="right" w:pos="8306"/>
                    </w:tabs>
                    <w:jc w:val="center"/>
                    <w:rPr>
                      <w:rFonts w:hint="default" w:ascii="Times New Roman" w:hAnsi="Times New Roman" w:eastAsia="宋体" w:cs="Times New Roman"/>
                      <w:bCs/>
                      <w:iCs/>
                      <w:color w:val="auto"/>
                      <w:kern w:val="0"/>
                      <w:sz w:val="21"/>
                      <w:szCs w:val="21"/>
                      <w:highlight w:val="none"/>
                    </w:rPr>
                  </w:pPr>
                  <w:r>
                    <w:rPr>
                      <w:rFonts w:hint="default" w:ascii="Times New Roman" w:hAnsi="Times New Roman" w:eastAsia="宋体" w:cs="Times New Roman"/>
                      <w:color w:val="auto"/>
                      <w:sz w:val="21"/>
                      <w:szCs w:val="21"/>
                      <w:highlight w:val="none"/>
                    </w:rPr>
                    <w:t>外售综合利用</w:t>
                  </w:r>
                </w:p>
              </w:tc>
            </w:tr>
            <w:tr w14:paraId="13A4F1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538" w:type="pct"/>
                  <w:vMerge w:val="continue"/>
                  <w:noWrap w:val="0"/>
                  <w:vAlign w:val="center"/>
                </w:tcPr>
                <w:p w14:paraId="7E500C68">
                  <w:pPr>
                    <w:tabs>
                      <w:tab w:val="center" w:pos="4153"/>
                      <w:tab w:val="right" w:pos="8306"/>
                    </w:tabs>
                    <w:jc w:val="center"/>
                    <w:rPr>
                      <w:rFonts w:hint="default" w:ascii="Times New Roman" w:hAnsi="Times New Roman" w:eastAsia="宋体" w:cs="Times New Roman"/>
                      <w:snapToGrid w:val="0"/>
                      <w:color w:val="auto"/>
                      <w:sz w:val="21"/>
                      <w:szCs w:val="21"/>
                      <w:highlight w:val="none"/>
                      <w:lang w:val="en-US" w:eastAsia="zh-CN"/>
                    </w:rPr>
                  </w:pPr>
                </w:p>
              </w:tc>
              <w:tc>
                <w:tcPr>
                  <w:tcW w:w="1038" w:type="pct"/>
                  <w:noWrap w:val="0"/>
                  <w:vAlign w:val="center"/>
                </w:tcPr>
                <w:p w14:paraId="751C6505">
                  <w:pPr>
                    <w:tabs>
                      <w:tab w:val="center" w:pos="4153"/>
                      <w:tab w:val="right" w:pos="8306"/>
                    </w:tabs>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除尘器收集粉尘（</w:t>
                  </w:r>
                  <w:r>
                    <w:rPr>
                      <w:rFonts w:hint="eastAsia"/>
                      <w:color w:val="auto"/>
                      <w:lang w:val="en-US" w:eastAsia="zh-CN"/>
                    </w:rPr>
                    <w:t>900-099-S59</w:t>
                  </w:r>
                  <w:r>
                    <w:rPr>
                      <w:rFonts w:hint="eastAsia" w:cs="Times New Roman"/>
                      <w:bCs/>
                      <w:color w:val="auto"/>
                      <w:sz w:val="21"/>
                      <w:szCs w:val="21"/>
                      <w:highlight w:val="none"/>
                      <w:lang w:val="en-US" w:eastAsia="zh-CN"/>
                    </w:rPr>
                    <w:t>）</w:t>
                  </w:r>
                </w:p>
              </w:tc>
              <w:tc>
                <w:tcPr>
                  <w:tcW w:w="550" w:type="pct"/>
                  <w:noWrap w:val="0"/>
                  <w:vAlign w:val="center"/>
                </w:tcPr>
                <w:p w14:paraId="06D35549">
                  <w:pPr>
                    <w:jc w:val="center"/>
                    <w:rPr>
                      <w:rFonts w:hint="default" w:ascii="Times New Roman" w:hAnsi="Times New Roman" w:eastAsia="宋体" w:cs="Times New Roman"/>
                      <w:snapToGrid w:val="0"/>
                      <w:color w:val="auto"/>
                      <w:sz w:val="21"/>
                      <w:szCs w:val="21"/>
                      <w:highlight w:val="none"/>
                      <w:lang w:val="en-US" w:eastAsia="zh-CN"/>
                    </w:rPr>
                  </w:pPr>
                  <w:r>
                    <w:rPr>
                      <w:rFonts w:hint="eastAsia" w:cs="Times New Roman"/>
                      <w:snapToGrid w:val="0"/>
                      <w:color w:val="auto"/>
                      <w:sz w:val="21"/>
                      <w:szCs w:val="21"/>
                      <w:highlight w:val="none"/>
                      <w:lang w:val="en-US" w:eastAsia="zh-CN"/>
                    </w:rPr>
                    <w:t>一般固废</w:t>
                  </w:r>
                </w:p>
              </w:tc>
              <w:tc>
                <w:tcPr>
                  <w:tcW w:w="326" w:type="pct"/>
                  <w:shd w:val="clear" w:color="auto" w:fill="auto"/>
                  <w:noWrap w:val="0"/>
                  <w:vAlign w:val="center"/>
                </w:tcPr>
                <w:p w14:paraId="1938EC60">
                  <w:pPr>
                    <w:tabs>
                      <w:tab w:val="center" w:pos="4153"/>
                      <w:tab w:val="right" w:pos="8306"/>
                    </w:tabs>
                    <w:jc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固态</w:t>
                  </w:r>
                </w:p>
              </w:tc>
              <w:tc>
                <w:tcPr>
                  <w:tcW w:w="397" w:type="pct"/>
                  <w:noWrap w:val="0"/>
                  <w:vAlign w:val="center"/>
                </w:tcPr>
                <w:p w14:paraId="7E8B3890">
                  <w:pPr>
                    <w:tabs>
                      <w:tab w:val="center" w:pos="4153"/>
                      <w:tab w:val="right" w:pos="8306"/>
                    </w:tabs>
                    <w:jc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w:t>
                  </w:r>
                </w:p>
              </w:tc>
              <w:tc>
                <w:tcPr>
                  <w:tcW w:w="442" w:type="pct"/>
                  <w:noWrap w:val="0"/>
                  <w:vAlign w:val="center"/>
                </w:tcPr>
                <w:p w14:paraId="2863651D">
                  <w:pPr>
                    <w:tabs>
                      <w:tab w:val="center" w:pos="4153"/>
                      <w:tab w:val="right" w:pos="8306"/>
                    </w:tabs>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117.80</w:t>
                  </w:r>
                  <w:r>
                    <w:rPr>
                      <w:rFonts w:hint="default" w:ascii="Times New Roman" w:hAnsi="Times New Roman" w:eastAsia="宋体" w:cs="Times New Roman"/>
                      <w:snapToGrid w:val="0"/>
                      <w:color w:val="auto"/>
                      <w:sz w:val="21"/>
                      <w:szCs w:val="21"/>
                      <w:highlight w:val="none"/>
                      <w:lang w:val="en-US" w:eastAsia="zh-CN"/>
                    </w:rPr>
                    <w:t>t/a</w:t>
                  </w:r>
                </w:p>
              </w:tc>
              <w:tc>
                <w:tcPr>
                  <w:tcW w:w="424" w:type="pct"/>
                  <w:noWrap w:val="0"/>
                  <w:vAlign w:val="center"/>
                </w:tcPr>
                <w:p w14:paraId="23B98190">
                  <w:pPr>
                    <w:tabs>
                      <w:tab w:val="center" w:pos="4153"/>
                      <w:tab w:val="right" w:pos="8306"/>
                    </w:tabs>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117.80</w:t>
                  </w:r>
                  <w:r>
                    <w:rPr>
                      <w:rFonts w:hint="default" w:ascii="Times New Roman" w:hAnsi="Times New Roman" w:eastAsia="宋体" w:cs="Times New Roman"/>
                      <w:snapToGrid w:val="0"/>
                      <w:color w:val="auto"/>
                      <w:sz w:val="21"/>
                      <w:szCs w:val="21"/>
                      <w:highlight w:val="none"/>
                      <w:lang w:val="en-US" w:eastAsia="zh-CN"/>
                    </w:rPr>
                    <w:t>t/a</w:t>
                  </w:r>
                </w:p>
              </w:tc>
              <w:tc>
                <w:tcPr>
                  <w:tcW w:w="532" w:type="pct"/>
                  <w:noWrap w:val="0"/>
                  <w:vAlign w:val="center"/>
                </w:tcPr>
                <w:p w14:paraId="31B378CC">
                  <w:pPr>
                    <w:tabs>
                      <w:tab w:val="center" w:pos="4153"/>
                      <w:tab w:val="right" w:pos="8306"/>
                    </w:tabs>
                    <w:jc w:val="center"/>
                    <w:rPr>
                      <w:rFonts w:hint="eastAsia" w:cs="Times New Roman"/>
                      <w:color w:val="auto"/>
                      <w:sz w:val="21"/>
                      <w:szCs w:val="21"/>
                      <w:highlight w:val="none"/>
                      <w:lang w:val="en-US" w:eastAsia="zh-CN"/>
                    </w:rPr>
                  </w:pPr>
                  <w:r>
                    <w:rPr>
                      <w:rFonts w:hint="default" w:ascii="Times New Roman" w:hAnsi="Times New Roman" w:cs="Times New Roman"/>
                      <w:color w:val="auto"/>
                      <w:szCs w:val="21"/>
                    </w:rPr>
                    <w:t>暂存于灰渣</w:t>
                  </w:r>
                  <w:r>
                    <w:rPr>
                      <w:rFonts w:hint="eastAsia" w:ascii="Times New Roman" w:hAnsi="Times New Roman" w:cs="Times New Roman"/>
                      <w:color w:val="auto"/>
                      <w:szCs w:val="21"/>
                      <w:lang w:val="en-US" w:eastAsia="zh-CN"/>
                    </w:rPr>
                    <w:t>储存</w:t>
                  </w:r>
                  <w:r>
                    <w:rPr>
                      <w:rFonts w:hint="default" w:ascii="Times New Roman" w:hAnsi="Times New Roman" w:cs="Times New Roman"/>
                      <w:color w:val="auto"/>
                      <w:szCs w:val="21"/>
                      <w:lang w:val="en-US" w:eastAsia="zh-CN"/>
                    </w:rPr>
                    <w:t>库</w:t>
                  </w:r>
                </w:p>
              </w:tc>
              <w:tc>
                <w:tcPr>
                  <w:tcW w:w="749" w:type="pct"/>
                  <w:noWrap w:val="0"/>
                  <w:vAlign w:val="center"/>
                </w:tcPr>
                <w:p w14:paraId="0E13A36D">
                  <w:pPr>
                    <w:tabs>
                      <w:tab w:val="center" w:pos="4153"/>
                      <w:tab w:val="right" w:pos="8306"/>
                    </w:tabs>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外售综合利用</w:t>
                  </w:r>
                </w:p>
              </w:tc>
            </w:tr>
          </w:tbl>
          <w:p w14:paraId="28C96961">
            <w:pPr>
              <w:spacing w:line="360" w:lineRule="auto"/>
              <w:ind w:firstLine="420" w:firstLineChars="200"/>
              <w:contextualSpacing/>
              <w:rPr>
                <w:rFonts w:hint="default" w:ascii="Times New Roman" w:hAnsi="Times New Roman" w:eastAsia="宋体" w:cs="Times New Roman"/>
                <w:b w:val="0"/>
                <w:bCs w:val="0"/>
                <w:color w:val="auto"/>
                <w:sz w:val="21"/>
                <w:highlight w:val="none"/>
              </w:rPr>
            </w:pP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lang w:val="en-US" w:eastAsia="zh-CN"/>
              </w:rPr>
              <w:t>2</w:t>
            </w:r>
            <w:r>
              <w:rPr>
                <w:rFonts w:hint="default" w:ascii="Times New Roman" w:hAnsi="Times New Roman" w:eastAsia="宋体" w:cs="Times New Roman"/>
                <w:b w:val="0"/>
                <w:bCs w:val="0"/>
                <w:color w:val="auto"/>
                <w:sz w:val="21"/>
                <w:highlight w:val="none"/>
                <w:lang w:eastAsia="zh-CN"/>
              </w:rPr>
              <w:t>）</w:t>
            </w:r>
            <w:r>
              <w:rPr>
                <w:rFonts w:hint="default" w:ascii="Times New Roman" w:hAnsi="Times New Roman" w:eastAsia="宋体" w:cs="Times New Roman"/>
                <w:b w:val="0"/>
                <w:bCs w:val="0"/>
                <w:color w:val="auto"/>
                <w:sz w:val="21"/>
                <w:highlight w:val="none"/>
              </w:rPr>
              <w:t>环境管理要求</w:t>
            </w:r>
          </w:p>
          <w:p w14:paraId="350D820C">
            <w:pPr>
              <w:spacing w:line="360" w:lineRule="auto"/>
              <w:ind w:firstLine="420" w:firstLineChars="200"/>
              <w:contextualSpacing/>
              <w:rPr>
                <w:rFonts w:hint="default" w:ascii="Times New Roman" w:hAnsi="Times New Roman" w:eastAsia="宋体" w:cs="Times New Roman"/>
                <w:color w:val="auto"/>
                <w:sz w:val="21"/>
                <w:szCs w:val="22"/>
                <w:highlight w:val="none"/>
              </w:rPr>
            </w:pPr>
            <w:r>
              <w:rPr>
                <w:rFonts w:hint="default" w:ascii="Times New Roman" w:hAnsi="Times New Roman" w:eastAsia="宋体" w:cs="Times New Roman"/>
                <w:color w:val="auto"/>
                <w:sz w:val="21"/>
                <w:szCs w:val="22"/>
                <w:highlight w:val="none"/>
              </w:rPr>
              <w:t>1）工业固体废物</w:t>
            </w:r>
          </w:p>
          <w:p w14:paraId="446B6758">
            <w:pPr>
              <w:spacing w:line="360" w:lineRule="auto"/>
              <w:ind w:firstLine="420" w:firstLineChars="200"/>
              <w:contextualSpacing/>
              <w:rPr>
                <w:rFonts w:hint="default" w:ascii="Times New Roman" w:hAnsi="Times New Roman" w:eastAsia="宋体" w:cs="Times New Roman"/>
                <w:color w:val="auto"/>
                <w:sz w:val="21"/>
                <w:szCs w:val="22"/>
                <w:highlight w:val="none"/>
              </w:rPr>
            </w:pPr>
            <w:r>
              <w:rPr>
                <w:rFonts w:hint="default" w:ascii="Times New Roman" w:hAnsi="Times New Roman" w:eastAsia="宋体" w:cs="Times New Roman"/>
                <w:color w:val="auto"/>
                <w:sz w:val="21"/>
                <w:szCs w:val="22"/>
                <w:highlight w:val="none"/>
              </w:rPr>
              <w:fldChar w:fldCharType="begin"/>
            </w:r>
            <w:r>
              <w:rPr>
                <w:rFonts w:hint="default" w:ascii="Times New Roman" w:hAnsi="Times New Roman" w:eastAsia="宋体" w:cs="Times New Roman"/>
                <w:color w:val="auto"/>
                <w:sz w:val="21"/>
                <w:szCs w:val="22"/>
                <w:highlight w:val="none"/>
              </w:rPr>
              <w:instrText xml:space="preserve"> = 1 \* GB3 </w:instrText>
            </w:r>
            <w:r>
              <w:rPr>
                <w:rFonts w:hint="default" w:ascii="Times New Roman" w:hAnsi="Times New Roman" w:eastAsia="宋体" w:cs="Times New Roman"/>
                <w:color w:val="auto"/>
                <w:sz w:val="21"/>
                <w:szCs w:val="22"/>
                <w:highlight w:val="none"/>
              </w:rPr>
              <w:fldChar w:fldCharType="separate"/>
            </w:r>
            <w:r>
              <w:rPr>
                <w:rFonts w:hint="default" w:ascii="Times New Roman" w:hAnsi="Times New Roman" w:eastAsia="宋体" w:cs="Times New Roman"/>
                <w:color w:val="auto"/>
                <w:sz w:val="21"/>
                <w:szCs w:val="22"/>
                <w:highlight w:val="none"/>
              </w:rPr>
              <w:t>①</w:t>
            </w:r>
            <w:r>
              <w:rPr>
                <w:rFonts w:hint="default" w:ascii="Times New Roman" w:hAnsi="Times New Roman" w:eastAsia="宋体" w:cs="Times New Roman"/>
                <w:color w:val="auto"/>
                <w:sz w:val="21"/>
                <w:szCs w:val="22"/>
                <w:highlight w:val="none"/>
              </w:rPr>
              <w:fldChar w:fldCharType="end"/>
            </w:r>
            <w:r>
              <w:rPr>
                <w:rFonts w:hint="default" w:ascii="Times New Roman" w:hAnsi="Times New Roman" w:eastAsia="宋体" w:cs="Times New Roman"/>
                <w:color w:val="auto"/>
                <w:sz w:val="21"/>
                <w:szCs w:val="22"/>
                <w:highlight w:val="none"/>
              </w:rPr>
              <w:t>产生工业固体废物的单位应当建立健全工业固体废物产生、收集、贮存、运输、利用、处置全过程的污染环境防治责任制度，建立工业固体废物管理台账，如实记录产生工业固体废物的种类、数量、流向、贮存、利用、处置等信息，实现工业固体废物可追溯、可查询，并采取防治工业固体废物污染环境的措施。</w:t>
            </w:r>
          </w:p>
          <w:p w14:paraId="0FB0EC01">
            <w:pPr>
              <w:spacing w:line="360" w:lineRule="auto"/>
              <w:ind w:firstLine="420" w:firstLineChars="200"/>
              <w:contextualSpacing/>
              <w:rPr>
                <w:rFonts w:hint="default" w:ascii="Times New Roman" w:hAnsi="Times New Roman" w:eastAsia="宋体" w:cs="Times New Roman"/>
                <w:color w:val="auto"/>
                <w:sz w:val="21"/>
                <w:szCs w:val="22"/>
                <w:highlight w:val="none"/>
              </w:rPr>
            </w:pPr>
            <w:r>
              <w:rPr>
                <w:rFonts w:hint="default" w:ascii="Times New Roman" w:hAnsi="Times New Roman" w:eastAsia="宋体" w:cs="Times New Roman"/>
                <w:color w:val="auto"/>
                <w:sz w:val="21"/>
                <w:szCs w:val="22"/>
                <w:highlight w:val="none"/>
              </w:rPr>
              <w:fldChar w:fldCharType="begin"/>
            </w:r>
            <w:r>
              <w:rPr>
                <w:rFonts w:hint="default" w:ascii="Times New Roman" w:hAnsi="Times New Roman" w:eastAsia="宋体" w:cs="Times New Roman"/>
                <w:color w:val="auto"/>
                <w:sz w:val="21"/>
                <w:szCs w:val="22"/>
                <w:highlight w:val="none"/>
              </w:rPr>
              <w:instrText xml:space="preserve"> = 2 \* GB3 </w:instrText>
            </w:r>
            <w:r>
              <w:rPr>
                <w:rFonts w:hint="default" w:ascii="Times New Roman" w:hAnsi="Times New Roman" w:eastAsia="宋体" w:cs="Times New Roman"/>
                <w:color w:val="auto"/>
                <w:sz w:val="21"/>
                <w:szCs w:val="22"/>
                <w:highlight w:val="none"/>
              </w:rPr>
              <w:fldChar w:fldCharType="separate"/>
            </w:r>
            <w:r>
              <w:rPr>
                <w:rFonts w:hint="default" w:ascii="Times New Roman" w:hAnsi="Times New Roman" w:eastAsia="宋体" w:cs="Times New Roman"/>
                <w:color w:val="auto"/>
                <w:sz w:val="21"/>
                <w:szCs w:val="22"/>
                <w:highlight w:val="none"/>
              </w:rPr>
              <w:t>②</w:t>
            </w:r>
            <w:r>
              <w:rPr>
                <w:rFonts w:hint="default" w:ascii="Times New Roman" w:hAnsi="Times New Roman" w:eastAsia="宋体" w:cs="Times New Roman"/>
                <w:color w:val="auto"/>
                <w:sz w:val="21"/>
                <w:szCs w:val="22"/>
                <w:highlight w:val="none"/>
              </w:rPr>
              <w:fldChar w:fldCharType="end"/>
            </w:r>
            <w:r>
              <w:rPr>
                <w:rFonts w:hint="default" w:ascii="Times New Roman" w:hAnsi="Times New Roman" w:eastAsia="宋体" w:cs="Times New Roman"/>
                <w:color w:val="auto"/>
                <w:sz w:val="21"/>
                <w:szCs w:val="22"/>
                <w:highlight w:val="none"/>
              </w:rPr>
              <w:t>禁止向生活垃圾收集设施中投放工业固体废物。</w:t>
            </w:r>
          </w:p>
          <w:p w14:paraId="3A27B5A6">
            <w:pPr>
              <w:autoSpaceDE w:val="0"/>
              <w:autoSpaceDN w:val="0"/>
              <w:spacing w:line="360" w:lineRule="auto"/>
              <w:ind w:firstLine="420" w:firstLineChars="200"/>
              <w:contextualSpacing/>
              <w:rPr>
                <w:rFonts w:hint="default" w:ascii="Times New Roman" w:hAnsi="Times New Roman" w:eastAsia="宋体" w:cs="Times New Roman"/>
                <w:bCs/>
                <w:color w:val="auto"/>
                <w:sz w:val="21"/>
                <w:highlight w:val="none"/>
              </w:rPr>
            </w:pPr>
            <w:r>
              <w:rPr>
                <w:rFonts w:hint="default" w:ascii="Times New Roman" w:hAnsi="Times New Roman" w:eastAsia="宋体" w:cs="Times New Roman"/>
                <w:color w:val="auto"/>
                <w:sz w:val="21"/>
                <w:szCs w:val="22"/>
                <w:highlight w:val="none"/>
              </w:rPr>
              <w:fldChar w:fldCharType="begin"/>
            </w:r>
            <w:r>
              <w:rPr>
                <w:rFonts w:hint="default" w:ascii="Times New Roman" w:hAnsi="Times New Roman" w:eastAsia="宋体" w:cs="Times New Roman"/>
                <w:color w:val="auto"/>
                <w:sz w:val="21"/>
                <w:szCs w:val="22"/>
                <w:highlight w:val="none"/>
              </w:rPr>
              <w:instrText xml:space="preserve"> = 3 \* GB3 </w:instrText>
            </w:r>
            <w:r>
              <w:rPr>
                <w:rFonts w:hint="default" w:ascii="Times New Roman" w:hAnsi="Times New Roman" w:eastAsia="宋体" w:cs="Times New Roman"/>
                <w:color w:val="auto"/>
                <w:sz w:val="21"/>
                <w:szCs w:val="22"/>
                <w:highlight w:val="none"/>
              </w:rPr>
              <w:fldChar w:fldCharType="separate"/>
            </w:r>
            <w:r>
              <w:rPr>
                <w:rFonts w:hint="default" w:ascii="Times New Roman" w:hAnsi="Times New Roman" w:eastAsia="宋体" w:cs="Times New Roman"/>
                <w:color w:val="auto"/>
                <w:sz w:val="21"/>
                <w:szCs w:val="22"/>
                <w:highlight w:val="none"/>
              </w:rPr>
              <w:t>③</w:t>
            </w:r>
            <w:r>
              <w:rPr>
                <w:rFonts w:hint="default" w:ascii="Times New Roman" w:hAnsi="Times New Roman" w:eastAsia="宋体" w:cs="Times New Roman"/>
                <w:color w:val="auto"/>
                <w:sz w:val="21"/>
                <w:szCs w:val="22"/>
                <w:highlight w:val="none"/>
              </w:rPr>
              <w:fldChar w:fldCharType="end"/>
            </w:r>
            <w:r>
              <w:rPr>
                <w:rFonts w:hint="default" w:ascii="Times New Roman" w:hAnsi="Times New Roman" w:eastAsia="宋体" w:cs="Times New Roman"/>
                <w:color w:val="auto"/>
                <w:sz w:val="21"/>
                <w:szCs w:val="22"/>
                <w:highlight w:val="none"/>
              </w:rPr>
              <w:t>产生工业固体废物的单位委托他人运输、利用、处置工业固体废物的，应当对受托方的主体资格和技术能力进行核实，依法签订书面合同，在合同中约定污染防治要求。受托方运输、利用、处置工业固体废物，应当依照有关法律法规的规定和合同约定履行污染防治要求，并将运输、利用、处置情况告知产生工业固体废物的单位</w:t>
            </w:r>
            <w:r>
              <w:rPr>
                <w:rFonts w:hint="default" w:ascii="Times New Roman" w:hAnsi="Times New Roman" w:eastAsia="宋体" w:cs="Times New Roman"/>
                <w:bCs/>
                <w:color w:val="auto"/>
                <w:sz w:val="21"/>
                <w:highlight w:val="none"/>
              </w:rPr>
              <w:t>。</w:t>
            </w:r>
          </w:p>
          <w:p w14:paraId="333D7D07">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color w:val="auto"/>
                <w:sz w:val="21"/>
                <w:highlight w:val="none"/>
              </w:rPr>
            </w:pPr>
            <w:r>
              <w:rPr>
                <w:rFonts w:hint="default" w:ascii="Times New Roman" w:hAnsi="Times New Roman" w:eastAsia="宋体" w:cs="Times New Roman"/>
                <w:b/>
                <w:bCs/>
                <w:color w:val="auto"/>
                <w:sz w:val="21"/>
                <w:highlight w:val="none"/>
                <w:lang w:val="en-US" w:eastAsia="zh-CN"/>
              </w:rPr>
              <w:t>5</w:t>
            </w:r>
            <w:r>
              <w:rPr>
                <w:rFonts w:hint="default" w:ascii="Times New Roman" w:hAnsi="Times New Roman" w:eastAsia="宋体" w:cs="Times New Roman"/>
                <w:b/>
                <w:bCs/>
                <w:color w:val="auto"/>
                <w:sz w:val="21"/>
                <w:highlight w:val="none"/>
              </w:rPr>
              <w:t>、地下水及土壤影响</w:t>
            </w:r>
            <w:r>
              <w:rPr>
                <w:rFonts w:hint="default" w:ascii="Times New Roman" w:hAnsi="Times New Roman" w:eastAsia="宋体" w:cs="Times New Roman"/>
                <w:b/>
                <w:bCs/>
                <w:color w:val="auto"/>
                <w:sz w:val="21"/>
                <w:highlight w:val="none"/>
                <w:lang w:val="en-US" w:eastAsia="zh-CN"/>
              </w:rPr>
              <w:t>环境</w:t>
            </w:r>
            <w:r>
              <w:rPr>
                <w:rFonts w:hint="default" w:ascii="Times New Roman" w:hAnsi="Times New Roman" w:eastAsia="宋体" w:cs="Times New Roman"/>
                <w:b/>
                <w:bCs/>
                <w:color w:val="auto"/>
                <w:sz w:val="21"/>
                <w:highlight w:val="none"/>
              </w:rPr>
              <w:t>保护措施</w:t>
            </w:r>
          </w:p>
          <w:p w14:paraId="784BBD80">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eastAsia="宋体" w:cs="Times New Roman"/>
                <w:b/>
                <w:bCs/>
                <w:color w:val="auto"/>
                <w:sz w:val="21"/>
                <w:highlight w:val="none"/>
                <w:lang w:val="en-US" w:eastAsia="zh-CN"/>
              </w:rPr>
            </w:pPr>
            <w:r>
              <w:rPr>
                <w:rFonts w:hint="default" w:ascii="Times New Roman" w:hAnsi="Times New Roman" w:eastAsia="宋体" w:cs="Times New Roman"/>
                <w:color w:val="auto"/>
                <w:sz w:val="21"/>
                <w:szCs w:val="24"/>
                <w:highlight w:val="none"/>
                <w:lang w:val="en-US" w:eastAsia="zh-CN"/>
              </w:rPr>
              <w:t>本项目不存在地下水及土壤环境污染途径。</w:t>
            </w:r>
          </w:p>
          <w:p w14:paraId="2BA3A824">
            <w:pPr>
              <w:pStyle w:val="114"/>
              <w:keepNext w:val="0"/>
              <w:keepLines w:val="0"/>
              <w:pageBreakBefore w:val="0"/>
              <w:widowControl w:val="0"/>
              <w:kinsoku/>
              <w:wordWrap/>
              <w:overflowPunct/>
              <w:topLinePunct w:val="0"/>
              <w:autoSpaceDE/>
              <w:autoSpaceDN/>
              <w:bidi w:val="0"/>
              <w:adjustRightInd/>
              <w:snapToGrid/>
              <w:spacing w:line="360" w:lineRule="auto"/>
              <w:ind w:left="0" w:leftChars="0" w:firstLine="422" w:firstLineChars="200"/>
              <w:textAlignment w:val="auto"/>
              <w:rPr>
                <w:rFonts w:hint="default" w:ascii="Times New Roman" w:hAnsi="Times New Roman" w:eastAsia="宋体" w:cs="Times New Roman"/>
                <w:b/>
                <w:bCs/>
                <w:color w:val="auto"/>
                <w:sz w:val="21"/>
                <w:highlight w:val="none"/>
                <w:lang w:val="en-US" w:eastAsia="zh-CN"/>
              </w:rPr>
            </w:pPr>
            <w:r>
              <w:rPr>
                <w:rFonts w:hint="eastAsia" w:cs="Times New Roman"/>
                <w:b/>
                <w:bCs/>
                <w:color w:val="auto"/>
                <w:sz w:val="21"/>
                <w:highlight w:val="none"/>
                <w:lang w:val="en-US" w:eastAsia="zh-CN"/>
              </w:rPr>
              <w:t>6</w:t>
            </w:r>
            <w:r>
              <w:rPr>
                <w:rFonts w:hint="default" w:ascii="Times New Roman" w:hAnsi="Times New Roman" w:eastAsia="宋体" w:cs="Times New Roman"/>
                <w:b/>
                <w:bCs/>
                <w:color w:val="auto"/>
                <w:sz w:val="21"/>
                <w:highlight w:val="none"/>
                <w:lang w:val="en-US" w:eastAsia="zh-CN"/>
              </w:rPr>
              <w:t>、环境风险</w:t>
            </w:r>
          </w:p>
          <w:p w14:paraId="35FCE968">
            <w:pPr>
              <w:pStyle w:val="114"/>
              <w:spacing w:line="360" w:lineRule="auto"/>
              <w:ind w:firstLine="420" w:firstLineChars="200"/>
              <w:rPr>
                <w:rFonts w:hint="default" w:ascii="Times New Roman" w:hAnsi="Times New Roman" w:eastAsia="宋体" w:cs="Times New Roman"/>
                <w:color w:val="auto"/>
                <w:kern w:val="2"/>
                <w:sz w:val="21"/>
                <w:szCs w:val="24"/>
                <w:highlight w:val="none"/>
                <w:lang w:val="en-US" w:eastAsia="zh-CN" w:bidi="ar-SA"/>
              </w:rPr>
            </w:pPr>
            <w:r>
              <w:rPr>
                <w:rFonts w:hint="default" w:ascii="Times New Roman" w:hAnsi="Times New Roman" w:eastAsia="宋体" w:cs="Times New Roman"/>
                <w:color w:val="auto"/>
                <w:kern w:val="2"/>
                <w:sz w:val="21"/>
                <w:szCs w:val="24"/>
                <w:highlight w:val="none"/>
                <w:lang w:val="en-US" w:eastAsia="zh-CN" w:bidi="ar-SA"/>
              </w:rPr>
              <w:t>根据《建设项目环境风险评价技术导则》（HJ169-2018）附录B中，表B.1</w:t>
            </w:r>
            <w:r>
              <w:rPr>
                <w:rFonts w:hint="eastAsia" w:cs="Times New Roman"/>
                <w:color w:val="auto"/>
                <w:kern w:val="2"/>
                <w:sz w:val="21"/>
                <w:szCs w:val="24"/>
                <w:highlight w:val="none"/>
                <w:lang w:val="en-US" w:eastAsia="zh-CN" w:bidi="ar-SA"/>
              </w:rPr>
              <w:t>、B.2</w:t>
            </w:r>
            <w:r>
              <w:rPr>
                <w:rFonts w:hint="default" w:ascii="Times New Roman" w:hAnsi="Times New Roman" w:eastAsia="宋体" w:cs="Times New Roman"/>
                <w:color w:val="auto"/>
                <w:kern w:val="2"/>
                <w:sz w:val="21"/>
                <w:szCs w:val="24"/>
                <w:highlight w:val="none"/>
                <w:lang w:val="en-US" w:eastAsia="zh-CN" w:bidi="ar-SA"/>
              </w:rPr>
              <w:t>，本项目无涉及突发环境事件风险的物质，不需要进行环境风险评价。本项目生物质燃料，指定位置存放，派专人看管，杜绝烟火，防止自燃，配备消防器材，杜绝安全隐患。</w:t>
            </w:r>
          </w:p>
          <w:p w14:paraId="35EFC180">
            <w:pPr>
              <w:pStyle w:val="114"/>
              <w:spacing w:line="360" w:lineRule="auto"/>
              <w:ind w:firstLine="420" w:firstLineChars="200"/>
              <w:rPr>
                <w:rFonts w:hint="default" w:ascii="Times New Roman" w:hAnsi="Times New Roman" w:eastAsia="宋体" w:cs="Times New Roman"/>
                <w:color w:val="auto"/>
                <w:kern w:val="2"/>
                <w:sz w:val="21"/>
                <w:szCs w:val="24"/>
                <w:highlight w:val="none"/>
                <w:lang w:val="en-US" w:eastAsia="zh-CN" w:bidi="ar-SA"/>
              </w:rPr>
            </w:pPr>
          </w:p>
          <w:p w14:paraId="2041D09F">
            <w:pPr>
              <w:pStyle w:val="114"/>
              <w:spacing w:line="360" w:lineRule="auto"/>
              <w:ind w:firstLine="420" w:firstLineChars="200"/>
              <w:rPr>
                <w:rFonts w:hint="default" w:ascii="Times New Roman" w:hAnsi="Times New Roman" w:eastAsia="宋体" w:cs="Times New Roman"/>
                <w:color w:val="auto"/>
                <w:kern w:val="2"/>
                <w:sz w:val="21"/>
                <w:szCs w:val="24"/>
                <w:highlight w:val="none"/>
                <w:lang w:val="en-US" w:eastAsia="zh-CN" w:bidi="ar-SA"/>
              </w:rPr>
            </w:pPr>
          </w:p>
          <w:p w14:paraId="51C7EF6F">
            <w:pPr>
              <w:pStyle w:val="114"/>
              <w:spacing w:line="360" w:lineRule="auto"/>
              <w:ind w:firstLine="420" w:firstLineChars="200"/>
              <w:rPr>
                <w:rFonts w:hint="default" w:ascii="Times New Roman" w:hAnsi="Times New Roman" w:eastAsia="宋体" w:cs="Times New Roman"/>
                <w:color w:val="auto"/>
                <w:kern w:val="2"/>
                <w:sz w:val="21"/>
                <w:szCs w:val="24"/>
                <w:highlight w:val="none"/>
                <w:lang w:val="en-US" w:eastAsia="zh-CN" w:bidi="ar-SA"/>
              </w:rPr>
            </w:pPr>
          </w:p>
          <w:p w14:paraId="089B129A">
            <w:pPr>
              <w:pStyle w:val="114"/>
              <w:spacing w:line="360" w:lineRule="auto"/>
              <w:ind w:left="0" w:leftChars="0" w:firstLine="0" w:firstLineChars="0"/>
              <w:rPr>
                <w:rFonts w:hint="default" w:ascii="Times New Roman" w:hAnsi="Times New Roman" w:eastAsia="宋体" w:cs="Times New Roman"/>
                <w:color w:val="auto"/>
                <w:kern w:val="2"/>
                <w:sz w:val="21"/>
                <w:szCs w:val="24"/>
                <w:highlight w:val="none"/>
                <w:lang w:val="en-US" w:eastAsia="zh-CN" w:bidi="ar-SA"/>
              </w:rPr>
            </w:pPr>
          </w:p>
          <w:p w14:paraId="2E29A0AF">
            <w:pPr>
              <w:pStyle w:val="114"/>
              <w:spacing w:line="360" w:lineRule="auto"/>
              <w:ind w:left="0" w:leftChars="0" w:firstLine="0" w:firstLineChars="0"/>
              <w:rPr>
                <w:rFonts w:hint="default" w:cs="Times New Roman"/>
                <w:color w:val="auto"/>
                <w:kern w:val="2"/>
                <w:sz w:val="21"/>
                <w:szCs w:val="24"/>
                <w:highlight w:val="none"/>
                <w:lang w:val="en-US" w:eastAsia="zh-CN" w:bidi="ar-SA"/>
              </w:rPr>
            </w:pPr>
          </w:p>
          <w:p w14:paraId="36D7913E">
            <w:pPr>
              <w:pStyle w:val="114"/>
              <w:spacing w:line="360" w:lineRule="auto"/>
              <w:ind w:left="0" w:leftChars="0" w:firstLine="0" w:firstLineChars="0"/>
              <w:rPr>
                <w:rFonts w:hint="default" w:cs="Times New Roman"/>
                <w:color w:val="auto"/>
                <w:kern w:val="2"/>
                <w:sz w:val="21"/>
                <w:szCs w:val="24"/>
                <w:highlight w:val="none"/>
                <w:lang w:val="en-US" w:eastAsia="zh-CN" w:bidi="ar-SA"/>
              </w:rPr>
            </w:pPr>
          </w:p>
        </w:tc>
      </w:tr>
    </w:tbl>
    <w:p w14:paraId="59E3ADFD">
      <w:pPr>
        <w:pStyle w:val="16"/>
        <w:rPr>
          <w:rFonts w:hint="default" w:ascii="Times New Roman" w:hAnsi="Times New Roman" w:cs="Times New Roman"/>
          <w:color w:val="auto"/>
          <w:highlight w:val="none"/>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6EEE51E6">
      <w:pPr>
        <w:pStyle w:val="36"/>
        <w:jc w:val="center"/>
        <w:outlineLvl w:val="0"/>
        <w:rPr>
          <w:rFonts w:hint="eastAsia" w:ascii="黑体" w:hAnsi="黑体" w:eastAsia="黑体" w:cs="黑体"/>
          <w:snapToGrid w:val="0"/>
          <w:color w:val="auto"/>
          <w:sz w:val="30"/>
          <w:szCs w:val="30"/>
          <w:highlight w:val="none"/>
        </w:rPr>
      </w:pPr>
      <w:bookmarkStart w:id="51" w:name="_Toc21043"/>
      <w:bookmarkStart w:id="52" w:name="_Toc28159"/>
      <w:bookmarkStart w:id="53" w:name="_Toc82778254"/>
      <w:bookmarkStart w:id="54" w:name="_Toc31536"/>
      <w:r>
        <w:rPr>
          <w:rFonts w:hint="eastAsia" w:ascii="黑体" w:hAnsi="黑体" w:eastAsia="黑体" w:cs="黑体"/>
          <w:snapToGrid w:val="0"/>
          <w:color w:val="auto"/>
          <w:sz w:val="30"/>
          <w:szCs w:val="30"/>
          <w:highlight w:val="none"/>
        </w:rPr>
        <w:t>五、</w:t>
      </w:r>
      <w:bookmarkStart w:id="55" w:name="_Hlk54167917"/>
      <w:r>
        <w:rPr>
          <w:rFonts w:hint="eastAsia" w:ascii="黑体" w:hAnsi="黑体" w:eastAsia="黑体" w:cs="黑体"/>
          <w:snapToGrid w:val="0"/>
          <w:color w:val="auto"/>
          <w:sz w:val="30"/>
          <w:szCs w:val="30"/>
          <w:highlight w:val="none"/>
        </w:rPr>
        <w:t>环境保护措施监督检查清单</w:t>
      </w:r>
      <w:bookmarkEnd w:id="51"/>
      <w:bookmarkEnd w:id="52"/>
      <w:bookmarkEnd w:id="53"/>
      <w:bookmarkEnd w:id="54"/>
      <w:bookmarkEnd w:id="55"/>
    </w:p>
    <w:tbl>
      <w:tblPr>
        <w:tblStyle w:val="4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139"/>
        <w:gridCol w:w="10"/>
        <w:gridCol w:w="1721"/>
        <w:gridCol w:w="12"/>
        <w:gridCol w:w="2188"/>
        <w:gridCol w:w="2489"/>
      </w:tblGrid>
      <w:tr w14:paraId="155F19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61" w:type="dxa"/>
            <w:tcBorders>
              <w:tl2br w:val="single" w:color="auto" w:sz="4" w:space="0"/>
            </w:tcBorders>
            <w:noWrap w:val="0"/>
            <w:vAlign w:val="top"/>
          </w:tcPr>
          <w:p w14:paraId="43F744EC">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内容</w:t>
            </w:r>
          </w:p>
          <w:p w14:paraId="6D544BFB">
            <w:pPr>
              <w:keepNext w:val="0"/>
              <w:keepLines w:val="0"/>
              <w:pageBreakBefore w:val="0"/>
              <w:widowControl w:val="0"/>
              <w:kinsoku/>
              <w:wordWrap/>
              <w:overflowPunct/>
              <w:topLinePunct w:val="0"/>
              <w:autoSpaceDE/>
              <w:autoSpaceDN/>
              <w:bidi w:val="0"/>
              <w:adjustRightInd w:val="0"/>
              <w:snapToGrid w:val="0"/>
              <w:spacing w:line="240" w:lineRule="auto"/>
              <w:jc w:val="right"/>
              <w:textAlignment w:val="auto"/>
              <w:rPr>
                <w:rFonts w:hint="default" w:ascii="Times New Roman" w:hAnsi="Times New Roman" w:eastAsia="宋体" w:cs="Times New Roman"/>
                <w:color w:val="auto"/>
                <w:sz w:val="21"/>
                <w:szCs w:val="21"/>
                <w:highlight w:val="none"/>
              </w:rPr>
            </w:pPr>
          </w:p>
          <w:p w14:paraId="1ABB9CC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要素</w:t>
            </w:r>
          </w:p>
        </w:tc>
        <w:tc>
          <w:tcPr>
            <w:tcW w:w="1139" w:type="dxa"/>
            <w:noWrap w:val="0"/>
            <w:vAlign w:val="center"/>
          </w:tcPr>
          <w:p w14:paraId="241A07D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排放口(编号、名称)/污染源</w:t>
            </w:r>
          </w:p>
        </w:tc>
        <w:tc>
          <w:tcPr>
            <w:tcW w:w="1731" w:type="dxa"/>
            <w:gridSpan w:val="2"/>
            <w:noWrap w:val="0"/>
            <w:vAlign w:val="center"/>
          </w:tcPr>
          <w:p w14:paraId="6988C8A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污染物项目</w:t>
            </w:r>
          </w:p>
        </w:tc>
        <w:tc>
          <w:tcPr>
            <w:tcW w:w="2200" w:type="dxa"/>
            <w:gridSpan w:val="2"/>
            <w:noWrap w:val="0"/>
            <w:vAlign w:val="center"/>
          </w:tcPr>
          <w:p w14:paraId="34B016D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环境保护措施</w:t>
            </w:r>
          </w:p>
        </w:tc>
        <w:tc>
          <w:tcPr>
            <w:tcW w:w="2489" w:type="dxa"/>
            <w:noWrap w:val="0"/>
            <w:vAlign w:val="center"/>
          </w:tcPr>
          <w:p w14:paraId="2EF77A3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执行标准</w:t>
            </w:r>
          </w:p>
        </w:tc>
      </w:tr>
      <w:tr w14:paraId="5C7713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90" w:hRule="atLeast"/>
          <w:jc w:val="center"/>
        </w:trPr>
        <w:tc>
          <w:tcPr>
            <w:tcW w:w="1161" w:type="dxa"/>
            <w:noWrap w:val="0"/>
            <w:vAlign w:val="center"/>
          </w:tcPr>
          <w:p w14:paraId="01520AB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大气环境</w:t>
            </w:r>
          </w:p>
        </w:tc>
        <w:tc>
          <w:tcPr>
            <w:tcW w:w="1139" w:type="dxa"/>
            <w:noWrap w:val="0"/>
            <w:vAlign w:val="center"/>
          </w:tcPr>
          <w:p w14:paraId="001CCBA9">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生物质锅炉</w:t>
            </w:r>
            <w:r>
              <w:rPr>
                <w:rFonts w:hint="default" w:ascii="Times New Roman" w:hAnsi="Times New Roman" w:eastAsia="宋体" w:cs="Times New Roman"/>
                <w:color w:val="auto"/>
                <w:sz w:val="21"/>
                <w:szCs w:val="21"/>
                <w:highlight w:val="none"/>
                <w:lang w:eastAsia="zh-CN"/>
              </w:rPr>
              <w:t>烟囱</w:t>
            </w:r>
          </w:p>
        </w:tc>
        <w:tc>
          <w:tcPr>
            <w:tcW w:w="1731" w:type="dxa"/>
            <w:gridSpan w:val="2"/>
            <w:noWrap w:val="0"/>
            <w:vAlign w:val="center"/>
          </w:tcPr>
          <w:p w14:paraId="07EA0144">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lang w:val="en-US" w:eastAsia="zh-CN"/>
              </w:rPr>
              <w:t>颗粒物</w:t>
            </w:r>
          </w:p>
          <w:p w14:paraId="34466C27">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vertAlign w:val="subscript"/>
              </w:rPr>
            </w:pPr>
            <w:r>
              <w:rPr>
                <w:rFonts w:hint="default" w:ascii="Times New Roman" w:hAnsi="Times New Roman" w:eastAsia="宋体" w:cs="Times New Roman"/>
                <w:color w:val="auto"/>
                <w:sz w:val="21"/>
                <w:szCs w:val="21"/>
                <w:highlight w:val="none"/>
              </w:rPr>
              <w:t>SO</w:t>
            </w:r>
            <w:r>
              <w:rPr>
                <w:rFonts w:hint="default" w:ascii="Times New Roman" w:hAnsi="Times New Roman" w:eastAsia="宋体" w:cs="Times New Roman"/>
                <w:color w:val="auto"/>
                <w:sz w:val="21"/>
                <w:szCs w:val="21"/>
                <w:highlight w:val="none"/>
                <w:vertAlign w:val="subscript"/>
              </w:rPr>
              <w:t>2</w:t>
            </w:r>
          </w:p>
          <w:p w14:paraId="38092337">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NOx</w:t>
            </w:r>
          </w:p>
          <w:p w14:paraId="43AE67BE">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烟气黑度</w:t>
            </w:r>
          </w:p>
        </w:tc>
        <w:tc>
          <w:tcPr>
            <w:tcW w:w="2200" w:type="dxa"/>
            <w:gridSpan w:val="2"/>
            <w:noWrap w:val="0"/>
            <w:vAlign w:val="center"/>
          </w:tcPr>
          <w:p w14:paraId="0635EEBD">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旋风除尘器+</w:t>
            </w:r>
            <w:r>
              <w:rPr>
                <w:rFonts w:hint="default" w:ascii="Times New Roman" w:hAnsi="Times New Roman" w:eastAsia="宋体" w:cs="Times New Roman"/>
                <w:color w:val="auto"/>
                <w:sz w:val="21"/>
                <w:szCs w:val="21"/>
                <w:highlight w:val="none"/>
              </w:rPr>
              <w:t>布袋除尘器+</w:t>
            </w:r>
            <w:r>
              <w:rPr>
                <w:rFonts w:hint="default" w:ascii="Times New Roman" w:hAnsi="Times New Roman" w:eastAsia="宋体" w:cs="Times New Roman"/>
                <w:color w:val="auto"/>
                <w:sz w:val="21"/>
                <w:szCs w:val="21"/>
                <w:highlight w:val="none"/>
                <w:lang w:val="en-US" w:eastAsia="zh-CN"/>
              </w:rPr>
              <w:t>35m</w:t>
            </w:r>
            <w:r>
              <w:rPr>
                <w:rFonts w:hint="default" w:ascii="Times New Roman" w:hAnsi="Times New Roman" w:eastAsia="宋体" w:cs="Times New Roman"/>
                <w:color w:val="auto"/>
                <w:sz w:val="21"/>
                <w:szCs w:val="21"/>
                <w:highlight w:val="none"/>
              </w:rPr>
              <w:t>高</w:t>
            </w:r>
            <w:r>
              <w:rPr>
                <w:rFonts w:hint="default" w:ascii="Times New Roman" w:hAnsi="Times New Roman" w:eastAsia="宋体" w:cs="Times New Roman"/>
                <w:color w:val="auto"/>
                <w:sz w:val="21"/>
                <w:szCs w:val="21"/>
                <w:highlight w:val="none"/>
                <w:lang w:val="en-US" w:eastAsia="zh-CN"/>
              </w:rPr>
              <w:t>烟囱</w:t>
            </w:r>
            <w:r>
              <w:rPr>
                <w:rFonts w:hint="default" w:ascii="Times New Roman" w:hAnsi="Times New Roman" w:eastAsia="宋体" w:cs="Times New Roman"/>
                <w:color w:val="auto"/>
                <w:sz w:val="21"/>
                <w:szCs w:val="21"/>
                <w:highlight w:val="none"/>
              </w:rPr>
              <w:t>排放</w:t>
            </w:r>
          </w:p>
        </w:tc>
        <w:tc>
          <w:tcPr>
            <w:tcW w:w="2489" w:type="dxa"/>
            <w:noWrap w:val="0"/>
            <w:vAlign w:val="center"/>
          </w:tcPr>
          <w:p w14:paraId="2AF8D43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《锅炉大气污染物排放标准》（GB13271-2014）</w:t>
            </w:r>
            <w:r>
              <w:rPr>
                <w:rFonts w:hint="default" w:ascii="Times New Roman" w:hAnsi="Times New Roman" w:eastAsia="宋体" w:cs="Times New Roman"/>
                <w:color w:val="auto"/>
                <w:sz w:val="21"/>
                <w:highlight w:val="none"/>
              </w:rPr>
              <w:t>表</w:t>
            </w:r>
            <w:r>
              <w:rPr>
                <w:rFonts w:hint="eastAsia" w:cs="Times New Roman"/>
                <w:color w:val="auto"/>
                <w:sz w:val="21"/>
                <w:highlight w:val="none"/>
                <w:lang w:val="en-US" w:eastAsia="zh-CN"/>
              </w:rPr>
              <w:t>2新建锅炉</w:t>
            </w:r>
            <w:r>
              <w:rPr>
                <w:rFonts w:hint="default" w:ascii="Times New Roman" w:hAnsi="Times New Roman" w:eastAsia="宋体" w:cs="Times New Roman"/>
                <w:color w:val="auto"/>
                <w:sz w:val="21"/>
                <w:szCs w:val="21"/>
                <w:highlight w:val="none"/>
                <w:lang w:eastAsia="zh-CN"/>
              </w:rPr>
              <w:t>大气污染物</w:t>
            </w:r>
            <w:r>
              <w:rPr>
                <w:rFonts w:hint="eastAsia" w:cs="Times New Roman"/>
                <w:color w:val="auto"/>
                <w:sz w:val="21"/>
                <w:szCs w:val="21"/>
                <w:highlight w:val="none"/>
                <w:lang w:val="en-US" w:eastAsia="zh-CN"/>
              </w:rPr>
              <w:t>排放浓度</w:t>
            </w:r>
            <w:r>
              <w:rPr>
                <w:rFonts w:hint="default" w:ascii="Times New Roman" w:hAnsi="Times New Roman" w:eastAsia="宋体" w:cs="Times New Roman"/>
                <w:color w:val="auto"/>
                <w:sz w:val="21"/>
                <w:szCs w:val="21"/>
                <w:highlight w:val="none"/>
                <w:lang w:eastAsia="zh-CN"/>
              </w:rPr>
              <w:t>限值</w:t>
            </w:r>
          </w:p>
        </w:tc>
      </w:tr>
      <w:tr w14:paraId="57080A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161" w:type="dxa"/>
            <w:noWrap w:val="0"/>
            <w:vAlign w:val="center"/>
          </w:tcPr>
          <w:p w14:paraId="66C0C677">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水环境</w:t>
            </w:r>
          </w:p>
        </w:tc>
        <w:tc>
          <w:tcPr>
            <w:tcW w:w="1139" w:type="dxa"/>
            <w:noWrap w:val="0"/>
            <w:vAlign w:val="center"/>
          </w:tcPr>
          <w:p w14:paraId="06EC3744">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锅炉排污水及软水制备废水</w:t>
            </w:r>
          </w:p>
        </w:tc>
        <w:tc>
          <w:tcPr>
            <w:tcW w:w="1731" w:type="dxa"/>
            <w:gridSpan w:val="2"/>
            <w:noWrap w:val="0"/>
            <w:vAlign w:val="center"/>
          </w:tcPr>
          <w:p w14:paraId="4A843FF3">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COD、pH、溶解性总固体</w:t>
            </w:r>
          </w:p>
        </w:tc>
        <w:tc>
          <w:tcPr>
            <w:tcW w:w="2200" w:type="dxa"/>
            <w:gridSpan w:val="2"/>
            <w:noWrap w:val="0"/>
            <w:vAlign w:val="center"/>
          </w:tcPr>
          <w:p w14:paraId="2AAEA270">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lang w:val="en-US" w:eastAsia="zh-CN"/>
              </w:rPr>
            </w:pPr>
            <w:r>
              <w:rPr>
                <w:rFonts w:hint="eastAsia" w:cs="Times New Roman"/>
                <w:smallCaps w:val="0"/>
                <w:snapToGrid w:val="0"/>
                <w:color w:val="auto"/>
                <w:kern w:val="0"/>
                <w:sz w:val="21"/>
                <w:szCs w:val="21"/>
                <w:highlight w:val="none"/>
                <w:lang w:val="en-US" w:eastAsia="zh-CN"/>
              </w:rPr>
              <w:t>部分用于洒水降尘，其余定期拉运至</w:t>
            </w:r>
            <w:r>
              <w:rPr>
                <w:rFonts w:hint="eastAsia" w:cs="Times New Roman"/>
                <w:color w:val="auto"/>
                <w:sz w:val="21"/>
                <w:szCs w:val="21"/>
                <w:highlight w:val="none"/>
                <w:lang w:val="en-US" w:eastAsia="zh-CN"/>
              </w:rPr>
              <w:t>铁力市</w:t>
            </w:r>
            <w:r>
              <w:rPr>
                <w:rFonts w:hint="default" w:ascii="Times New Roman" w:hAnsi="Times New Roman" w:eastAsia="宋体" w:cs="Times New Roman"/>
                <w:smallCaps w:val="0"/>
                <w:snapToGrid w:val="0"/>
                <w:color w:val="auto"/>
                <w:kern w:val="0"/>
                <w:sz w:val="21"/>
                <w:szCs w:val="21"/>
                <w:highlight w:val="none"/>
                <w:lang w:val="en-US" w:eastAsia="zh-CN"/>
              </w:rPr>
              <w:t>污水处理厂处理达标后排放</w:t>
            </w:r>
          </w:p>
        </w:tc>
        <w:tc>
          <w:tcPr>
            <w:tcW w:w="2489" w:type="dxa"/>
            <w:noWrap w:val="0"/>
            <w:vAlign w:val="center"/>
          </w:tcPr>
          <w:p w14:paraId="137F510A">
            <w:pPr>
              <w:pStyle w:val="112"/>
              <w:keepNext w:val="0"/>
              <w:keepLines w:val="0"/>
              <w:pageBreakBefore w:val="0"/>
              <w:widowControl w:val="0"/>
              <w:kinsoku/>
              <w:wordWrap/>
              <w:overflowPunct/>
              <w:topLinePunct w:val="0"/>
              <w:autoSpaceDE/>
              <w:autoSpaceDN/>
              <w:bidi w:val="0"/>
              <w:spacing w:line="240" w:lineRule="auto"/>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《污水综合排放标准》（GB8978-1996）三级标准</w:t>
            </w:r>
          </w:p>
        </w:tc>
      </w:tr>
      <w:tr w14:paraId="4ECBB7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1" w:hRule="atLeast"/>
          <w:jc w:val="center"/>
        </w:trPr>
        <w:tc>
          <w:tcPr>
            <w:tcW w:w="1161" w:type="dxa"/>
            <w:noWrap w:val="0"/>
            <w:vAlign w:val="center"/>
          </w:tcPr>
          <w:p w14:paraId="6D9B9CF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声环境</w:t>
            </w:r>
          </w:p>
        </w:tc>
        <w:tc>
          <w:tcPr>
            <w:tcW w:w="1139" w:type="dxa"/>
            <w:noWrap w:val="0"/>
            <w:vAlign w:val="center"/>
          </w:tcPr>
          <w:p w14:paraId="378CB242">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生产设备噪声</w:t>
            </w:r>
          </w:p>
        </w:tc>
        <w:tc>
          <w:tcPr>
            <w:tcW w:w="1731" w:type="dxa"/>
            <w:gridSpan w:val="2"/>
            <w:noWrap w:val="0"/>
            <w:vAlign w:val="center"/>
          </w:tcPr>
          <w:p w14:paraId="43E6A8E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噪声</w:t>
            </w:r>
          </w:p>
        </w:tc>
        <w:tc>
          <w:tcPr>
            <w:tcW w:w="2200" w:type="dxa"/>
            <w:gridSpan w:val="2"/>
            <w:noWrap w:val="0"/>
            <w:vAlign w:val="center"/>
          </w:tcPr>
          <w:p w14:paraId="74AA116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选用低噪声设备、</w:t>
            </w:r>
            <w:r>
              <w:rPr>
                <w:rFonts w:hint="eastAsia" w:cs="Times New Roman"/>
                <w:color w:val="auto"/>
                <w:sz w:val="21"/>
                <w:szCs w:val="21"/>
                <w:highlight w:val="none"/>
                <w:lang w:val="en-US" w:eastAsia="zh-CN"/>
              </w:rPr>
              <w:t>采用基础减震，厂房隔声等措施</w:t>
            </w:r>
          </w:p>
        </w:tc>
        <w:tc>
          <w:tcPr>
            <w:tcW w:w="2489" w:type="dxa"/>
            <w:noWrap w:val="0"/>
            <w:vAlign w:val="center"/>
          </w:tcPr>
          <w:p w14:paraId="3E3AF3B5">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《工业企业厂界环境噪声排放标准》（GB12348-2008）表1中2类标准</w:t>
            </w:r>
          </w:p>
        </w:tc>
      </w:tr>
      <w:tr w14:paraId="299EAC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161" w:type="dxa"/>
            <w:noWrap w:val="0"/>
            <w:vAlign w:val="center"/>
          </w:tcPr>
          <w:p w14:paraId="59D736D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电磁辐射</w:t>
            </w:r>
          </w:p>
        </w:tc>
        <w:tc>
          <w:tcPr>
            <w:tcW w:w="1139" w:type="dxa"/>
            <w:noWrap w:val="0"/>
            <w:vAlign w:val="center"/>
          </w:tcPr>
          <w:p w14:paraId="5A466E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731" w:type="dxa"/>
            <w:gridSpan w:val="2"/>
            <w:noWrap w:val="0"/>
            <w:vAlign w:val="center"/>
          </w:tcPr>
          <w:p w14:paraId="0B14C72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2200" w:type="dxa"/>
            <w:gridSpan w:val="2"/>
            <w:noWrap w:val="0"/>
            <w:vAlign w:val="center"/>
          </w:tcPr>
          <w:p w14:paraId="0D29FB9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2489" w:type="dxa"/>
            <w:noWrap w:val="0"/>
            <w:vAlign w:val="center"/>
          </w:tcPr>
          <w:p w14:paraId="743AFAB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676AEC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161" w:type="dxa"/>
            <w:vMerge w:val="restart"/>
            <w:noWrap w:val="0"/>
            <w:vAlign w:val="center"/>
          </w:tcPr>
          <w:p w14:paraId="1B621E4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固体废物</w:t>
            </w:r>
          </w:p>
        </w:tc>
        <w:tc>
          <w:tcPr>
            <w:tcW w:w="1149" w:type="dxa"/>
            <w:gridSpan w:val="2"/>
            <w:vMerge w:val="restart"/>
            <w:noWrap w:val="0"/>
            <w:vAlign w:val="center"/>
          </w:tcPr>
          <w:p w14:paraId="0924A18F">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pacing w:val="-6"/>
                <w:sz w:val="21"/>
                <w:szCs w:val="21"/>
                <w:highlight w:val="none"/>
                <w:lang w:val="en-US" w:eastAsia="zh-CN"/>
              </w:rPr>
            </w:pPr>
            <w:r>
              <w:rPr>
                <w:rFonts w:hint="eastAsia" w:cs="Times New Roman"/>
                <w:color w:val="auto"/>
                <w:spacing w:val="-6"/>
                <w:sz w:val="21"/>
                <w:szCs w:val="21"/>
                <w:highlight w:val="none"/>
                <w:lang w:val="en-US" w:eastAsia="zh-CN"/>
              </w:rPr>
              <w:t>锅炉燃烧</w:t>
            </w:r>
          </w:p>
        </w:tc>
        <w:tc>
          <w:tcPr>
            <w:tcW w:w="1733" w:type="dxa"/>
            <w:gridSpan w:val="2"/>
            <w:shd w:val="clear" w:color="auto" w:fill="auto"/>
            <w:noWrap w:val="0"/>
            <w:vAlign w:val="center"/>
          </w:tcPr>
          <w:p w14:paraId="7AFBC9C8">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color w:val="000000" w:themeColor="text1"/>
                <w:szCs w:val="21"/>
                <w:highlight w:val="none"/>
                <w14:textFill>
                  <w14:solidFill>
                    <w14:schemeClr w14:val="tx1"/>
                  </w14:solidFill>
                </w14:textFill>
              </w:rPr>
              <w:t>锅炉炉渣（900-099-S03）</w:t>
            </w:r>
          </w:p>
        </w:tc>
        <w:tc>
          <w:tcPr>
            <w:tcW w:w="4677" w:type="dxa"/>
            <w:gridSpan w:val="2"/>
            <w:shd w:val="clear" w:color="auto" w:fill="auto"/>
            <w:noWrap w:val="0"/>
            <w:vAlign w:val="center"/>
          </w:tcPr>
          <w:p w14:paraId="0B3958B2">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cs="Times New Roman" w:eastAsiaTheme="minorEastAsia"/>
                <w:spacing w:val="-6"/>
                <w:kern w:val="2"/>
                <w:sz w:val="21"/>
                <w:szCs w:val="21"/>
                <w:lang w:val="en-US" w:eastAsia="zh-CN" w:bidi="ar-SA"/>
              </w:rPr>
            </w:pPr>
            <w:r>
              <w:rPr>
                <w:rFonts w:hint="default" w:ascii="Times New Roman" w:hAnsi="Times New Roman" w:cs="Times New Roman"/>
                <w:color w:val="000000" w:themeColor="text1"/>
                <w:szCs w:val="21"/>
                <w14:textFill>
                  <w14:solidFill>
                    <w14:schemeClr w14:val="tx1"/>
                  </w14:solidFill>
                </w14:textFill>
              </w:rPr>
              <w:t>外售综合利用</w:t>
            </w:r>
          </w:p>
        </w:tc>
      </w:tr>
      <w:tr w14:paraId="274DB3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61" w:type="dxa"/>
            <w:vMerge w:val="continue"/>
            <w:noWrap w:val="0"/>
            <w:vAlign w:val="center"/>
          </w:tcPr>
          <w:p w14:paraId="2B4D5976">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p>
        </w:tc>
        <w:tc>
          <w:tcPr>
            <w:tcW w:w="1149" w:type="dxa"/>
            <w:gridSpan w:val="2"/>
            <w:vMerge w:val="continue"/>
            <w:noWrap w:val="0"/>
            <w:vAlign w:val="center"/>
          </w:tcPr>
          <w:p w14:paraId="4DD2D529">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pacing w:val="-6"/>
                <w:sz w:val="21"/>
                <w:szCs w:val="21"/>
                <w:highlight w:val="none"/>
                <w:lang w:val="en-US" w:eastAsia="zh-CN"/>
              </w:rPr>
            </w:pPr>
          </w:p>
        </w:tc>
        <w:tc>
          <w:tcPr>
            <w:tcW w:w="1733" w:type="dxa"/>
            <w:gridSpan w:val="2"/>
            <w:shd w:val="clear" w:color="auto" w:fill="auto"/>
            <w:noWrap w:val="0"/>
            <w:vAlign w:val="center"/>
          </w:tcPr>
          <w:p w14:paraId="2D285AA4">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szCs w:val="21"/>
                <w:highlight w:val="none"/>
                <w14:textFill>
                  <w14:solidFill>
                    <w14:schemeClr w14:val="tx1"/>
                  </w14:solidFill>
                </w14:textFill>
              </w:rPr>
              <w:t>除尘器除尘灰（</w:t>
            </w:r>
            <w:r>
              <w:rPr>
                <w:rFonts w:hint="eastAsia"/>
                <w:lang w:val="en-US" w:eastAsia="zh-CN"/>
              </w:rPr>
              <w:t>900-099-S59</w:t>
            </w:r>
            <w:r>
              <w:rPr>
                <w:rFonts w:hint="default" w:ascii="Times New Roman" w:hAnsi="Times New Roman" w:cs="Times New Roman"/>
                <w:color w:val="000000" w:themeColor="text1"/>
                <w:szCs w:val="21"/>
                <w:highlight w:val="none"/>
                <w14:textFill>
                  <w14:solidFill>
                    <w14:schemeClr w14:val="tx1"/>
                  </w14:solidFill>
                </w14:textFill>
              </w:rPr>
              <w:t>）</w:t>
            </w:r>
          </w:p>
        </w:tc>
        <w:tc>
          <w:tcPr>
            <w:tcW w:w="4677" w:type="dxa"/>
            <w:gridSpan w:val="2"/>
            <w:shd w:val="clear" w:color="auto" w:fill="auto"/>
            <w:noWrap w:val="0"/>
            <w:vAlign w:val="center"/>
          </w:tcPr>
          <w:p w14:paraId="4700353B">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外售综合利用</w:t>
            </w:r>
          </w:p>
        </w:tc>
      </w:tr>
      <w:tr w14:paraId="0024C0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161" w:type="dxa"/>
            <w:vMerge w:val="continue"/>
            <w:noWrap w:val="0"/>
            <w:vAlign w:val="center"/>
          </w:tcPr>
          <w:p w14:paraId="2169A4A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p>
        </w:tc>
        <w:tc>
          <w:tcPr>
            <w:tcW w:w="1149" w:type="dxa"/>
            <w:gridSpan w:val="2"/>
            <w:noWrap w:val="0"/>
            <w:vAlign w:val="center"/>
          </w:tcPr>
          <w:p w14:paraId="7D9387AC">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pacing w:val="-6"/>
                <w:sz w:val="21"/>
                <w:szCs w:val="21"/>
                <w:highlight w:val="none"/>
                <w:lang w:val="en-US" w:eastAsia="zh-CN"/>
              </w:rPr>
            </w:pPr>
            <w:r>
              <w:rPr>
                <w:rFonts w:hint="eastAsia" w:cs="Times New Roman"/>
                <w:color w:val="auto"/>
                <w:spacing w:val="-6"/>
                <w:sz w:val="21"/>
                <w:szCs w:val="21"/>
                <w:highlight w:val="none"/>
                <w:lang w:val="en-US" w:eastAsia="zh-CN"/>
              </w:rPr>
              <w:t>除尘</w:t>
            </w:r>
          </w:p>
        </w:tc>
        <w:tc>
          <w:tcPr>
            <w:tcW w:w="1733" w:type="dxa"/>
            <w:gridSpan w:val="2"/>
            <w:shd w:val="clear" w:color="auto" w:fill="auto"/>
            <w:noWrap w:val="0"/>
            <w:vAlign w:val="center"/>
          </w:tcPr>
          <w:p w14:paraId="23E1C60C">
            <w:pPr>
              <w:spacing w:line="0" w:lineRule="atLeast"/>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color w:val="000000" w:themeColor="text1"/>
                <w:szCs w:val="21"/>
                <w14:textFill>
                  <w14:solidFill>
                    <w14:schemeClr w14:val="tx1"/>
                  </w14:solidFill>
                </w14:textFill>
              </w:rPr>
              <w:t>废布袋（900-009-S59）</w:t>
            </w:r>
          </w:p>
        </w:tc>
        <w:tc>
          <w:tcPr>
            <w:tcW w:w="4677" w:type="dxa"/>
            <w:gridSpan w:val="2"/>
            <w:shd w:val="clear" w:color="auto" w:fill="auto"/>
            <w:noWrap w:val="0"/>
            <w:vAlign w:val="center"/>
          </w:tcPr>
          <w:p w14:paraId="324F9226">
            <w:pPr>
              <w:spacing w:line="0" w:lineRule="atLeast"/>
              <w:jc w:val="center"/>
              <w:rPr>
                <w:rFonts w:hint="default" w:ascii="Times New Roman" w:hAnsi="Times New Roman" w:eastAsia="宋体" w:cs="Times New Roman"/>
                <w:spacing w:val="-6"/>
                <w:kern w:val="2"/>
                <w:sz w:val="21"/>
                <w:szCs w:val="21"/>
                <w:lang w:val="en-US" w:eastAsia="zh-CN" w:bidi="ar-SA"/>
              </w:rPr>
            </w:pPr>
            <w:r>
              <w:rPr>
                <w:rFonts w:hint="default" w:ascii="Times New Roman" w:hAnsi="Times New Roman" w:cs="Times New Roman"/>
                <w:color w:val="000000" w:themeColor="text1"/>
                <w:szCs w:val="21"/>
                <w14:textFill>
                  <w14:solidFill>
                    <w14:schemeClr w14:val="tx1"/>
                  </w14:solidFill>
                </w14:textFill>
              </w:rPr>
              <w:t>更换后</w:t>
            </w:r>
            <w:r>
              <w:rPr>
                <w:rFonts w:hint="eastAsia" w:cs="Times New Roman"/>
                <w:color w:val="000000" w:themeColor="text1"/>
                <w:szCs w:val="21"/>
                <w:lang w:val="en-US" w:eastAsia="zh-CN"/>
                <w14:textFill>
                  <w14:solidFill>
                    <w14:schemeClr w14:val="tx1"/>
                  </w14:solidFill>
                </w14:textFill>
              </w:rPr>
              <w:t>交由厂家处理</w:t>
            </w:r>
          </w:p>
        </w:tc>
      </w:tr>
      <w:tr w14:paraId="421218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161" w:type="dxa"/>
            <w:vMerge w:val="continue"/>
            <w:noWrap w:val="0"/>
            <w:vAlign w:val="center"/>
          </w:tcPr>
          <w:p w14:paraId="473730E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p>
        </w:tc>
        <w:tc>
          <w:tcPr>
            <w:tcW w:w="1149" w:type="dxa"/>
            <w:gridSpan w:val="2"/>
            <w:noWrap w:val="0"/>
            <w:vAlign w:val="center"/>
          </w:tcPr>
          <w:p w14:paraId="1442EB7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pacing w:val="-6"/>
                <w:sz w:val="21"/>
                <w:szCs w:val="21"/>
                <w:highlight w:val="none"/>
                <w:lang w:val="en-US" w:eastAsia="zh-CN"/>
              </w:rPr>
            </w:pPr>
            <w:r>
              <w:rPr>
                <w:rFonts w:hint="eastAsia" w:cs="Times New Roman"/>
                <w:color w:val="auto"/>
                <w:spacing w:val="-6"/>
                <w:sz w:val="21"/>
                <w:szCs w:val="21"/>
                <w:highlight w:val="none"/>
                <w:lang w:val="en-US" w:eastAsia="zh-CN"/>
              </w:rPr>
              <w:t>锅炉水软化</w:t>
            </w:r>
          </w:p>
        </w:tc>
        <w:tc>
          <w:tcPr>
            <w:tcW w:w="1733" w:type="dxa"/>
            <w:gridSpan w:val="2"/>
            <w:noWrap w:val="0"/>
            <w:vAlign w:val="center"/>
          </w:tcPr>
          <w:p w14:paraId="24E6E9F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pacing w:val="-6"/>
                <w:sz w:val="21"/>
                <w:szCs w:val="21"/>
                <w:highlight w:val="none"/>
                <w:lang w:val="en-US" w:eastAsia="zh-CN"/>
              </w:rPr>
            </w:pPr>
            <w:r>
              <w:rPr>
                <w:rFonts w:hint="default" w:ascii="Times New Roman" w:hAnsi="Times New Roman" w:cs="Times New Roman"/>
                <w:color w:val="000000" w:themeColor="text1"/>
                <w:szCs w:val="21"/>
                <w:highlight w:val="none"/>
                <w:lang w:val="en-US" w:eastAsia="zh-CN"/>
                <w14:textFill>
                  <w14:solidFill>
                    <w14:schemeClr w14:val="tx1"/>
                  </w14:solidFill>
                </w14:textFill>
              </w:rPr>
              <w:t>废</w:t>
            </w:r>
            <w:r>
              <w:rPr>
                <w:rFonts w:hint="eastAsia" w:ascii="Times New Roman" w:hAnsi="Times New Roman" w:cs="Times New Roman"/>
                <w:color w:val="000000" w:themeColor="text1"/>
                <w:szCs w:val="21"/>
                <w:highlight w:val="none"/>
                <w:lang w:val="en-US" w:eastAsia="zh-CN"/>
                <w14:textFill>
                  <w14:solidFill>
                    <w14:schemeClr w14:val="tx1"/>
                  </w14:solidFill>
                </w14:textFill>
              </w:rPr>
              <w:t>反渗透膜</w:t>
            </w:r>
            <w:r>
              <w:rPr>
                <w:rFonts w:hint="default" w:ascii="Times New Roman" w:hAnsi="Times New Roman" w:cs="Times New Roman"/>
                <w:color w:val="000000" w:themeColor="text1"/>
                <w:szCs w:val="21"/>
                <w:highlight w:val="none"/>
                <w14:textFill>
                  <w14:solidFill>
                    <w14:schemeClr w14:val="tx1"/>
                  </w14:solidFill>
                </w14:textFill>
              </w:rPr>
              <w:t>（900-009-S59）</w:t>
            </w:r>
          </w:p>
        </w:tc>
        <w:tc>
          <w:tcPr>
            <w:tcW w:w="4677" w:type="dxa"/>
            <w:gridSpan w:val="2"/>
            <w:noWrap w:val="0"/>
            <w:vAlign w:val="center"/>
          </w:tcPr>
          <w:p w14:paraId="44D849E7">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pacing w:val="-6"/>
                <w:sz w:val="21"/>
                <w:szCs w:val="21"/>
                <w:highlight w:val="none"/>
                <w:lang w:val="en-US" w:eastAsia="zh-CN"/>
              </w:rPr>
            </w:pPr>
            <w:r>
              <w:rPr>
                <w:rFonts w:hint="eastAsia" w:cs="Times New Roman"/>
                <w:color w:val="000000" w:themeColor="text1"/>
                <w:szCs w:val="21"/>
                <w:lang w:val="en-US" w:eastAsia="zh-CN"/>
                <w14:textFill>
                  <w14:solidFill>
                    <w14:schemeClr w14:val="tx1"/>
                  </w14:solidFill>
                </w14:textFill>
              </w:rPr>
              <w:t>更换后</w:t>
            </w:r>
            <w:r>
              <w:rPr>
                <w:rFonts w:hint="eastAsia" w:ascii="Times New Roman" w:hAnsi="Times New Roman" w:cs="Times New Roman"/>
                <w:color w:val="000000" w:themeColor="text1"/>
                <w:szCs w:val="21"/>
                <w:lang w:val="en-US" w:eastAsia="zh-CN"/>
                <w14:textFill>
                  <w14:solidFill>
                    <w14:schemeClr w14:val="tx1"/>
                  </w14:solidFill>
                </w14:textFill>
              </w:rPr>
              <w:t>交</w:t>
            </w:r>
            <w:r>
              <w:rPr>
                <w:rFonts w:hint="default" w:ascii="Times New Roman" w:hAnsi="Times New Roman" w:cs="Times New Roman"/>
                <w:color w:val="000000" w:themeColor="text1"/>
                <w:szCs w:val="21"/>
                <w14:textFill>
                  <w14:solidFill>
                    <w14:schemeClr w14:val="tx1"/>
                  </w14:solidFill>
                </w14:textFill>
              </w:rPr>
              <w:t>由厂家处理</w:t>
            </w:r>
          </w:p>
        </w:tc>
      </w:tr>
      <w:tr w14:paraId="71A404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161" w:type="dxa"/>
            <w:noWrap w:val="0"/>
            <w:vAlign w:val="center"/>
          </w:tcPr>
          <w:p w14:paraId="431A62AB">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土壤及地下水污染防治措施</w:t>
            </w:r>
          </w:p>
        </w:tc>
        <w:tc>
          <w:tcPr>
            <w:tcW w:w="7559" w:type="dxa"/>
            <w:gridSpan w:val="6"/>
            <w:noWrap w:val="0"/>
            <w:vAlign w:val="center"/>
          </w:tcPr>
          <w:p w14:paraId="2B9010CA">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eastAsiaTheme="minorEastAsia"/>
                <w:bCs/>
                <w:spacing w:val="-6"/>
                <w:szCs w:val="21"/>
              </w:rPr>
              <w:t>用地范围内均进行了地面硬化</w:t>
            </w:r>
          </w:p>
        </w:tc>
      </w:tr>
      <w:tr w14:paraId="4ACEBE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161" w:type="dxa"/>
            <w:noWrap w:val="0"/>
            <w:vAlign w:val="center"/>
          </w:tcPr>
          <w:p w14:paraId="2BBDAB51">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生态保护措施</w:t>
            </w:r>
          </w:p>
        </w:tc>
        <w:tc>
          <w:tcPr>
            <w:tcW w:w="7559" w:type="dxa"/>
            <w:gridSpan w:val="6"/>
            <w:noWrap w:val="0"/>
            <w:vAlign w:val="center"/>
          </w:tcPr>
          <w:p w14:paraId="6321DBB8">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r>
      <w:tr w14:paraId="3ECC55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1" w:type="dxa"/>
            <w:noWrap w:val="0"/>
            <w:vAlign w:val="center"/>
          </w:tcPr>
          <w:p w14:paraId="4C8C288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pacing w:val="-8"/>
                <w:sz w:val="21"/>
                <w:szCs w:val="21"/>
                <w:highlight w:val="none"/>
              </w:rPr>
            </w:pPr>
            <w:r>
              <w:rPr>
                <w:rFonts w:hint="default" w:ascii="Times New Roman" w:hAnsi="Times New Roman" w:eastAsia="宋体" w:cs="Times New Roman"/>
                <w:color w:val="auto"/>
                <w:spacing w:val="-8"/>
                <w:sz w:val="21"/>
                <w:szCs w:val="21"/>
                <w:highlight w:val="none"/>
              </w:rPr>
              <w:t>环境风险</w:t>
            </w:r>
          </w:p>
          <w:p w14:paraId="0B77ADC0">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pacing w:val="-8"/>
                <w:sz w:val="21"/>
                <w:szCs w:val="21"/>
                <w:highlight w:val="none"/>
              </w:rPr>
            </w:pPr>
            <w:r>
              <w:rPr>
                <w:rFonts w:hint="default" w:ascii="Times New Roman" w:hAnsi="Times New Roman" w:eastAsia="宋体" w:cs="Times New Roman"/>
                <w:color w:val="auto"/>
                <w:spacing w:val="-8"/>
                <w:sz w:val="21"/>
                <w:szCs w:val="21"/>
                <w:highlight w:val="none"/>
              </w:rPr>
              <w:t>防范措施</w:t>
            </w:r>
          </w:p>
        </w:tc>
        <w:tc>
          <w:tcPr>
            <w:tcW w:w="7559" w:type="dxa"/>
            <w:gridSpan w:val="6"/>
            <w:noWrap w:val="0"/>
            <w:vAlign w:val="center"/>
          </w:tcPr>
          <w:p w14:paraId="2C834777">
            <w:pPr>
              <w:pStyle w:val="112"/>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25F190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71" w:hRule="atLeast"/>
          <w:jc w:val="center"/>
        </w:trPr>
        <w:tc>
          <w:tcPr>
            <w:tcW w:w="1161" w:type="dxa"/>
            <w:noWrap w:val="0"/>
            <w:vAlign w:val="center"/>
          </w:tcPr>
          <w:p w14:paraId="020CE8D4">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宋体" w:cs="Times New Roman"/>
                <w:color w:val="auto"/>
                <w:spacing w:val="-8"/>
                <w:sz w:val="21"/>
                <w:szCs w:val="21"/>
                <w:highlight w:val="none"/>
              </w:rPr>
            </w:pPr>
            <w:r>
              <w:rPr>
                <w:rFonts w:hint="default" w:ascii="Times New Roman" w:hAnsi="Times New Roman" w:eastAsia="宋体" w:cs="Times New Roman"/>
                <w:color w:val="auto"/>
                <w:sz w:val="21"/>
                <w:szCs w:val="21"/>
                <w:highlight w:val="none"/>
              </w:rPr>
              <w:t>其他环境管理要求</w:t>
            </w:r>
          </w:p>
        </w:tc>
        <w:tc>
          <w:tcPr>
            <w:tcW w:w="7559" w:type="dxa"/>
            <w:gridSpan w:val="6"/>
            <w:noWrap w:val="0"/>
            <w:vAlign w:val="center"/>
          </w:tcPr>
          <w:p w14:paraId="1A4CC76A">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宋体" w:cs="Times New Roman"/>
                <w:color w:val="auto"/>
                <w:spacing w:val="-8"/>
                <w:sz w:val="21"/>
                <w:szCs w:val="21"/>
                <w:highlight w:val="none"/>
                <w:lang w:val="en-US" w:eastAsia="zh-CN"/>
              </w:rPr>
            </w:pPr>
            <w:r>
              <w:rPr>
                <w:rFonts w:hint="default" w:ascii="Times New Roman" w:hAnsi="Times New Roman" w:eastAsia="宋体" w:cs="Times New Roman"/>
                <w:color w:val="auto"/>
                <w:sz w:val="21"/>
                <w:szCs w:val="21"/>
                <w:highlight w:val="none"/>
              </w:rPr>
              <w:t>根据《关于做好环境影响评价制度与排污许可制衔接相关工作的通知》（环办环评[2017]84号），建设单位应根据本项目污染物产生及排放情况，依据《固定污染源排污许可分类管理名录（2019年版）》，及时办理排污许可相关手续。</w:t>
            </w:r>
          </w:p>
        </w:tc>
      </w:tr>
    </w:tbl>
    <w:p w14:paraId="3C42D80A">
      <w:pPr>
        <w:pStyle w:val="31"/>
        <w:bidi w:val="0"/>
        <w:ind w:left="0" w:leftChars="0" w:firstLine="0" w:firstLineChars="0"/>
        <w:rPr>
          <w:rFonts w:hint="default" w:ascii="Times New Roman" w:hAnsi="Times New Roman" w:cs="Times New Roman"/>
          <w:color w:val="auto"/>
          <w:highlight w:val="none"/>
        </w:rPr>
        <w:sectPr>
          <w:footerReference r:id="rId7" w:type="default"/>
          <w:pgSz w:w="11906" w:h="16838"/>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bookmarkStart w:id="56" w:name="_Toc82778256"/>
    </w:p>
    <w:p w14:paraId="24A164D5">
      <w:pPr>
        <w:pStyle w:val="36"/>
        <w:keepNext w:val="0"/>
        <w:keepLines w:val="0"/>
        <w:pageBreakBefore w:val="0"/>
        <w:widowControl/>
        <w:kinsoku/>
        <w:wordWrap/>
        <w:overflowPunct/>
        <w:topLinePunct w:val="0"/>
        <w:autoSpaceDE/>
        <w:autoSpaceDN/>
        <w:bidi w:val="0"/>
        <w:adjustRightInd/>
        <w:snapToGrid/>
        <w:jc w:val="center"/>
        <w:textAlignment w:val="auto"/>
        <w:outlineLvl w:val="0"/>
        <w:rPr>
          <w:rFonts w:hint="eastAsia" w:ascii="黑体" w:hAnsi="黑体" w:eastAsia="黑体" w:cs="黑体"/>
          <w:snapToGrid w:val="0"/>
          <w:color w:val="auto"/>
          <w:sz w:val="30"/>
          <w:szCs w:val="30"/>
          <w:highlight w:val="none"/>
        </w:rPr>
      </w:pPr>
      <w:bookmarkStart w:id="57" w:name="_Toc25724"/>
      <w:bookmarkStart w:id="58" w:name="_Toc26973"/>
      <w:bookmarkStart w:id="59" w:name="_Toc82778255"/>
      <w:bookmarkStart w:id="60" w:name="_Toc9406"/>
      <w:r>
        <w:rPr>
          <w:rFonts w:hint="eastAsia" w:ascii="黑体" w:hAnsi="黑体" w:eastAsia="黑体" w:cs="黑体"/>
          <w:snapToGrid w:val="0"/>
          <w:color w:val="auto"/>
          <w:sz w:val="30"/>
          <w:szCs w:val="30"/>
          <w:highlight w:val="none"/>
        </w:rPr>
        <w:t>六、结论</w:t>
      </w:r>
      <w:bookmarkEnd w:id="57"/>
      <w:bookmarkEnd w:id="58"/>
      <w:bookmarkEnd w:id="59"/>
      <w:bookmarkEnd w:id="60"/>
    </w:p>
    <w:tbl>
      <w:tblPr>
        <w:tblStyle w:val="4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6B3D96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top"/>
          </w:tcPr>
          <w:p w14:paraId="5E33F88C">
            <w:pPr>
              <w:pStyle w:val="114"/>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1"/>
                <w:szCs w:val="21"/>
                <w:highlight w:val="none"/>
              </w:rPr>
            </w:pPr>
            <w:r>
              <w:rPr>
                <w:rFonts w:hint="eastAsia" w:ascii="宋体" w:hAnsi="宋体" w:eastAsia="宋体" w:cs="宋体"/>
                <w:sz w:val="21"/>
                <w:szCs w:val="21"/>
              </w:rPr>
              <w:t>本项目建设符合“</w:t>
            </w:r>
            <w:r>
              <w:rPr>
                <w:rFonts w:hint="eastAsia" w:ascii="宋体" w:hAnsi="宋体" w:eastAsia="宋体" w:cs="宋体"/>
                <w:kern w:val="0"/>
                <w:sz w:val="21"/>
                <w:szCs w:val="21"/>
              </w:rPr>
              <w:t>生态环境分区管控要求</w:t>
            </w:r>
            <w:r>
              <w:rPr>
                <w:rFonts w:hint="eastAsia" w:ascii="宋体" w:hAnsi="宋体" w:eastAsia="宋体" w:cs="宋体"/>
                <w:sz w:val="21"/>
                <w:szCs w:val="21"/>
              </w:rPr>
              <w:t>”要求，逐一落实本报告提出的污染治理项目，保证各项污染物达标排放。因此，本项目环境影响可行。</w:t>
            </w:r>
          </w:p>
          <w:p w14:paraId="0246D76A">
            <w:pPr>
              <w:pStyle w:val="114"/>
              <w:ind w:firstLine="480"/>
              <w:rPr>
                <w:rFonts w:hint="eastAsia" w:ascii="宋体" w:hAnsi="宋体" w:eastAsia="宋体" w:cs="宋体"/>
                <w:color w:val="auto"/>
                <w:sz w:val="21"/>
                <w:szCs w:val="21"/>
                <w:highlight w:val="none"/>
              </w:rPr>
            </w:pPr>
          </w:p>
          <w:p w14:paraId="1DAAB0A9">
            <w:pPr>
              <w:pStyle w:val="114"/>
              <w:ind w:firstLine="480"/>
              <w:rPr>
                <w:rFonts w:hint="default" w:ascii="Times New Roman" w:hAnsi="Times New Roman" w:eastAsia="宋体" w:cs="Times New Roman"/>
                <w:color w:val="auto"/>
                <w:sz w:val="21"/>
                <w:highlight w:val="none"/>
              </w:rPr>
            </w:pPr>
          </w:p>
          <w:p w14:paraId="41BD718A">
            <w:pPr>
              <w:pStyle w:val="114"/>
              <w:ind w:firstLine="480"/>
              <w:rPr>
                <w:rFonts w:hint="default" w:ascii="Times New Roman" w:hAnsi="Times New Roman" w:eastAsia="宋体" w:cs="Times New Roman"/>
                <w:color w:val="auto"/>
                <w:sz w:val="21"/>
                <w:highlight w:val="none"/>
              </w:rPr>
            </w:pPr>
          </w:p>
          <w:p w14:paraId="784C3E51">
            <w:pPr>
              <w:pStyle w:val="114"/>
              <w:ind w:firstLine="480"/>
              <w:rPr>
                <w:rFonts w:hint="default" w:ascii="Times New Roman" w:hAnsi="Times New Roman" w:eastAsia="宋体" w:cs="Times New Roman"/>
                <w:color w:val="auto"/>
                <w:sz w:val="21"/>
                <w:highlight w:val="none"/>
              </w:rPr>
            </w:pPr>
          </w:p>
          <w:p w14:paraId="1F96CBC5">
            <w:pPr>
              <w:pStyle w:val="114"/>
              <w:ind w:firstLine="480"/>
              <w:rPr>
                <w:rFonts w:hint="default" w:ascii="Times New Roman" w:hAnsi="Times New Roman" w:eastAsia="宋体" w:cs="Times New Roman"/>
                <w:color w:val="auto"/>
                <w:sz w:val="21"/>
                <w:highlight w:val="none"/>
              </w:rPr>
            </w:pPr>
          </w:p>
          <w:p w14:paraId="25ECE7D6">
            <w:pPr>
              <w:pStyle w:val="114"/>
              <w:ind w:firstLine="480"/>
              <w:rPr>
                <w:rFonts w:hint="default" w:ascii="Times New Roman" w:hAnsi="Times New Roman" w:eastAsia="宋体" w:cs="Times New Roman"/>
                <w:color w:val="auto"/>
                <w:sz w:val="21"/>
                <w:highlight w:val="none"/>
              </w:rPr>
            </w:pPr>
          </w:p>
          <w:p w14:paraId="4DC15AD7">
            <w:pPr>
              <w:pStyle w:val="114"/>
              <w:ind w:firstLine="480"/>
              <w:rPr>
                <w:rFonts w:hint="default" w:ascii="Times New Roman" w:hAnsi="Times New Roman" w:eastAsia="宋体" w:cs="Times New Roman"/>
                <w:color w:val="auto"/>
                <w:sz w:val="21"/>
                <w:highlight w:val="none"/>
              </w:rPr>
            </w:pPr>
          </w:p>
          <w:p w14:paraId="1542AC1D">
            <w:pPr>
              <w:pStyle w:val="114"/>
              <w:ind w:firstLine="480"/>
              <w:rPr>
                <w:rFonts w:hint="default" w:ascii="Times New Roman" w:hAnsi="Times New Roman" w:eastAsia="宋体" w:cs="Times New Roman"/>
                <w:color w:val="auto"/>
                <w:sz w:val="21"/>
                <w:highlight w:val="none"/>
              </w:rPr>
            </w:pPr>
          </w:p>
          <w:p w14:paraId="4BAB0F2A">
            <w:pPr>
              <w:pStyle w:val="114"/>
              <w:ind w:firstLine="480"/>
              <w:rPr>
                <w:rFonts w:hint="default" w:ascii="Times New Roman" w:hAnsi="Times New Roman" w:eastAsia="宋体" w:cs="Times New Roman"/>
                <w:color w:val="auto"/>
                <w:sz w:val="21"/>
                <w:highlight w:val="none"/>
              </w:rPr>
            </w:pPr>
          </w:p>
          <w:p w14:paraId="1D6698F0">
            <w:pPr>
              <w:pStyle w:val="114"/>
              <w:ind w:firstLine="480"/>
              <w:rPr>
                <w:rFonts w:hint="default" w:ascii="Times New Roman" w:hAnsi="Times New Roman" w:eastAsia="宋体" w:cs="Times New Roman"/>
                <w:color w:val="auto"/>
                <w:sz w:val="21"/>
                <w:highlight w:val="none"/>
              </w:rPr>
            </w:pPr>
          </w:p>
          <w:p w14:paraId="031AC8C3">
            <w:pPr>
              <w:pStyle w:val="114"/>
              <w:ind w:firstLine="480"/>
              <w:rPr>
                <w:rFonts w:hint="default" w:ascii="Times New Roman" w:hAnsi="Times New Roman" w:eastAsia="宋体" w:cs="Times New Roman"/>
                <w:color w:val="auto"/>
                <w:sz w:val="21"/>
                <w:highlight w:val="none"/>
              </w:rPr>
            </w:pPr>
          </w:p>
          <w:p w14:paraId="797A4553">
            <w:pPr>
              <w:pStyle w:val="114"/>
              <w:ind w:firstLine="480"/>
              <w:rPr>
                <w:rFonts w:hint="default" w:ascii="Times New Roman" w:hAnsi="Times New Roman" w:eastAsia="宋体" w:cs="Times New Roman"/>
                <w:color w:val="auto"/>
                <w:sz w:val="21"/>
                <w:highlight w:val="none"/>
              </w:rPr>
            </w:pPr>
          </w:p>
        </w:tc>
      </w:tr>
    </w:tbl>
    <w:p w14:paraId="4A505576">
      <w:pPr>
        <w:rPr>
          <w:rFonts w:hint="default" w:ascii="Times New Roman" w:hAnsi="Times New Roman" w:cs="Times New Roman"/>
          <w:color w:val="auto"/>
          <w:highlight w:val="none"/>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2A374917">
      <w:pPr>
        <w:keepNext/>
        <w:adjustRightInd w:val="0"/>
        <w:snapToGrid w:val="0"/>
        <w:spacing w:line="500" w:lineRule="exact"/>
        <w:jc w:val="left"/>
        <w:outlineLvl w:val="0"/>
        <w:rPr>
          <w:rFonts w:hint="eastAsia" w:ascii="黑体" w:hAnsi="黑体" w:eastAsia="黑体" w:cs="黑体"/>
          <w:b/>
          <w:color w:val="auto"/>
          <w:sz w:val="32"/>
          <w:szCs w:val="32"/>
          <w:highlight w:val="none"/>
          <w:lang w:val="en-US" w:eastAsia="zh-CN"/>
        </w:rPr>
      </w:pPr>
      <w:bookmarkStart w:id="61" w:name="_Toc13179"/>
      <w:bookmarkStart w:id="62" w:name="_Toc13748"/>
      <w:bookmarkStart w:id="63" w:name="_Toc13283"/>
      <w:bookmarkStart w:id="64" w:name="_Toc31321"/>
      <w:bookmarkStart w:id="65" w:name="_Toc30251"/>
      <w:bookmarkStart w:id="66" w:name="_Toc22893"/>
      <w:bookmarkStart w:id="67" w:name="_Toc10602"/>
      <w:bookmarkStart w:id="68" w:name="_Toc32230"/>
      <w:bookmarkStart w:id="69" w:name="_Toc6737"/>
      <w:r>
        <w:rPr>
          <w:rFonts w:hint="eastAsia" w:ascii="黑体" w:hAnsi="黑体" w:eastAsia="黑体" w:cs="黑体"/>
          <w:b/>
          <w:color w:val="auto"/>
          <w:sz w:val="32"/>
          <w:szCs w:val="32"/>
          <w:highlight w:val="none"/>
          <w:lang w:val="en-US" w:eastAsia="zh-CN"/>
        </w:rPr>
        <w:t>附表</w:t>
      </w:r>
      <w:bookmarkEnd w:id="56"/>
      <w:bookmarkEnd w:id="61"/>
      <w:bookmarkEnd w:id="62"/>
      <w:bookmarkEnd w:id="63"/>
      <w:bookmarkEnd w:id="64"/>
      <w:bookmarkEnd w:id="65"/>
      <w:bookmarkEnd w:id="66"/>
      <w:bookmarkEnd w:id="67"/>
      <w:bookmarkEnd w:id="68"/>
      <w:bookmarkEnd w:id="69"/>
    </w:p>
    <w:p w14:paraId="57ECADD6">
      <w:pPr>
        <w:keepNext/>
        <w:adjustRightInd w:val="0"/>
        <w:snapToGrid w:val="0"/>
        <w:spacing w:line="500" w:lineRule="exact"/>
        <w:jc w:val="center"/>
        <w:outlineLvl w:val="0"/>
        <w:rPr>
          <w:rFonts w:hint="default" w:ascii="Times New Roman" w:hAnsi="Times New Roman" w:eastAsia="宋体" w:cs="Times New Roman"/>
          <w:b/>
          <w:color w:val="auto"/>
          <w:sz w:val="24"/>
          <w:highlight w:val="none"/>
          <w:lang w:val="en-US" w:eastAsia="zh-CN"/>
        </w:rPr>
      </w:pPr>
      <w:bookmarkStart w:id="70" w:name="_Toc68775759"/>
      <w:r>
        <w:rPr>
          <w:rFonts w:hint="default" w:ascii="Times New Roman" w:hAnsi="Times New Roman" w:eastAsia="方正小标宋简体" w:cs="Times New Roman"/>
          <w:snapToGrid w:val="0"/>
          <w:color w:val="000000" w:themeColor="text1"/>
          <w:sz w:val="38"/>
          <w:szCs w:val="40"/>
          <w:highlight w:val="none"/>
          <w14:textFill>
            <w14:solidFill>
              <w14:schemeClr w14:val="tx1"/>
            </w14:solidFill>
          </w14:textFill>
        </w:rPr>
        <w:t>建设项目污染物排放量汇总表</w:t>
      </w:r>
      <w:bookmarkEnd w:id="70"/>
    </w:p>
    <w:tbl>
      <w:tblPr>
        <w:tblStyle w:val="42"/>
        <w:tblW w:w="137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1560"/>
        <w:gridCol w:w="1701"/>
        <w:gridCol w:w="1275"/>
        <w:gridCol w:w="1560"/>
        <w:gridCol w:w="1417"/>
        <w:gridCol w:w="1559"/>
        <w:gridCol w:w="1985"/>
        <w:gridCol w:w="1569"/>
      </w:tblGrid>
      <w:tr w14:paraId="361219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2" w:type="dxa"/>
            <w:tcBorders>
              <w:tl2br w:val="single" w:color="auto" w:sz="4" w:space="0"/>
            </w:tcBorders>
            <w:noWrap w:val="0"/>
            <w:tcMar>
              <w:left w:w="28" w:type="dxa"/>
              <w:right w:w="28" w:type="dxa"/>
            </w:tcMar>
            <w:vAlign w:val="center"/>
          </w:tcPr>
          <w:p w14:paraId="3BE76886">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项目</w:t>
            </w:r>
          </w:p>
          <w:p w14:paraId="6CAEC30A">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分类</w:t>
            </w:r>
          </w:p>
        </w:tc>
        <w:tc>
          <w:tcPr>
            <w:tcW w:w="1560" w:type="dxa"/>
            <w:noWrap w:val="0"/>
            <w:tcMar>
              <w:left w:w="28" w:type="dxa"/>
              <w:right w:w="28" w:type="dxa"/>
            </w:tcMar>
            <w:vAlign w:val="center"/>
          </w:tcPr>
          <w:p w14:paraId="41CDE79D">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污染物名称</w:t>
            </w:r>
          </w:p>
        </w:tc>
        <w:tc>
          <w:tcPr>
            <w:tcW w:w="1701" w:type="dxa"/>
            <w:noWrap w:val="0"/>
            <w:tcMar>
              <w:left w:w="28" w:type="dxa"/>
              <w:right w:w="28" w:type="dxa"/>
            </w:tcMar>
            <w:vAlign w:val="center"/>
          </w:tcPr>
          <w:p w14:paraId="6C4B9CC6">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现有工程</w:t>
            </w:r>
          </w:p>
          <w:p w14:paraId="1D4A639E">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排放量（固体废物产生量）</w:t>
            </w:r>
            <w:r>
              <w:rPr>
                <w:rFonts w:hint="eastAsia" w:ascii="黑体" w:hAnsi="黑体" w:eastAsia="黑体" w:cs="黑体"/>
                <w:snapToGrid w:val="0"/>
                <w:color w:val="auto"/>
                <w:spacing w:val="-6"/>
                <w:kern w:val="21"/>
                <w:sz w:val="21"/>
                <w:szCs w:val="21"/>
                <w:highlight w:val="none"/>
              </w:rPr>
              <w:fldChar w:fldCharType="begin"/>
            </w:r>
            <w:r>
              <w:rPr>
                <w:rFonts w:hint="eastAsia" w:ascii="黑体" w:hAnsi="黑体" w:eastAsia="黑体" w:cs="黑体"/>
                <w:snapToGrid w:val="0"/>
                <w:color w:val="auto"/>
                <w:spacing w:val="-6"/>
                <w:kern w:val="21"/>
                <w:sz w:val="21"/>
                <w:szCs w:val="21"/>
                <w:highlight w:val="none"/>
              </w:rPr>
              <w:instrText xml:space="preserve"> = 1 \* GB3 \* MERGEFORMAT </w:instrText>
            </w:r>
            <w:r>
              <w:rPr>
                <w:rFonts w:hint="eastAsia" w:ascii="黑体" w:hAnsi="黑体" w:eastAsia="黑体" w:cs="黑体"/>
                <w:snapToGrid w:val="0"/>
                <w:color w:val="auto"/>
                <w:spacing w:val="-6"/>
                <w:kern w:val="21"/>
                <w:sz w:val="21"/>
                <w:szCs w:val="21"/>
                <w:highlight w:val="none"/>
              </w:rPr>
              <w:fldChar w:fldCharType="separate"/>
            </w:r>
            <w:r>
              <w:rPr>
                <w:rFonts w:hint="eastAsia" w:ascii="黑体" w:hAnsi="黑体" w:eastAsia="黑体" w:cs="黑体"/>
                <w:color w:val="auto"/>
                <w:kern w:val="2"/>
                <w:sz w:val="21"/>
                <w:szCs w:val="21"/>
                <w:highlight w:val="none"/>
              </w:rPr>
              <w:t>①</w:t>
            </w:r>
            <w:r>
              <w:rPr>
                <w:rFonts w:hint="eastAsia" w:ascii="黑体" w:hAnsi="黑体" w:eastAsia="黑体" w:cs="黑体"/>
                <w:snapToGrid w:val="0"/>
                <w:color w:val="auto"/>
                <w:spacing w:val="-6"/>
                <w:kern w:val="21"/>
                <w:sz w:val="21"/>
                <w:szCs w:val="21"/>
                <w:highlight w:val="none"/>
              </w:rPr>
              <w:fldChar w:fldCharType="end"/>
            </w:r>
          </w:p>
        </w:tc>
        <w:tc>
          <w:tcPr>
            <w:tcW w:w="1275" w:type="dxa"/>
            <w:noWrap w:val="0"/>
            <w:tcMar>
              <w:left w:w="28" w:type="dxa"/>
              <w:right w:w="28" w:type="dxa"/>
            </w:tcMar>
            <w:vAlign w:val="center"/>
          </w:tcPr>
          <w:p w14:paraId="4D1F4E41">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现有工程</w:t>
            </w:r>
          </w:p>
          <w:p w14:paraId="53F41161">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许可排放量</w:t>
            </w:r>
          </w:p>
          <w:p w14:paraId="16670884">
            <w:pPr>
              <w:pStyle w:val="94"/>
              <w:spacing w:beforeLines="0" w:afterLines="0"/>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fldChar w:fldCharType="begin"/>
            </w:r>
            <w:r>
              <w:rPr>
                <w:rFonts w:hint="eastAsia" w:ascii="黑体" w:hAnsi="黑体" w:eastAsia="黑体" w:cs="黑体"/>
                <w:snapToGrid w:val="0"/>
                <w:color w:val="auto"/>
                <w:spacing w:val="-6"/>
                <w:kern w:val="21"/>
                <w:sz w:val="21"/>
                <w:szCs w:val="21"/>
                <w:highlight w:val="none"/>
              </w:rPr>
              <w:instrText xml:space="preserve"> = 2 \* GB3 \* MERGEFORMAT </w:instrText>
            </w:r>
            <w:r>
              <w:rPr>
                <w:rFonts w:hint="eastAsia" w:ascii="黑体" w:hAnsi="黑体" w:eastAsia="黑体" w:cs="黑体"/>
                <w:snapToGrid w:val="0"/>
                <w:color w:val="auto"/>
                <w:spacing w:val="-6"/>
                <w:kern w:val="21"/>
                <w:sz w:val="21"/>
                <w:szCs w:val="21"/>
                <w:highlight w:val="none"/>
              </w:rPr>
              <w:fldChar w:fldCharType="separate"/>
            </w:r>
            <w:r>
              <w:rPr>
                <w:rFonts w:hint="eastAsia" w:ascii="黑体" w:hAnsi="黑体" w:eastAsia="黑体" w:cs="黑体"/>
                <w:snapToGrid w:val="0"/>
                <w:color w:val="auto"/>
                <w:spacing w:val="-6"/>
                <w:kern w:val="21"/>
                <w:sz w:val="21"/>
                <w:szCs w:val="21"/>
                <w:highlight w:val="none"/>
              </w:rPr>
              <w:t>②</w:t>
            </w:r>
            <w:r>
              <w:rPr>
                <w:rFonts w:hint="eastAsia" w:ascii="黑体" w:hAnsi="黑体" w:eastAsia="黑体" w:cs="黑体"/>
                <w:snapToGrid w:val="0"/>
                <w:color w:val="auto"/>
                <w:spacing w:val="-6"/>
                <w:kern w:val="21"/>
                <w:sz w:val="21"/>
                <w:szCs w:val="21"/>
                <w:highlight w:val="none"/>
              </w:rPr>
              <w:fldChar w:fldCharType="end"/>
            </w:r>
          </w:p>
        </w:tc>
        <w:tc>
          <w:tcPr>
            <w:tcW w:w="1560" w:type="dxa"/>
            <w:noWrap w:val="0"/>
            <w:tcMar>
              <w:left w:w="28" w:type="dxa"/>
              <w:right w:w="28" w:type="dxa"/>
            </w:tcMar>
            <w:vAlign w:val="center"/>
          </w:tcPr>
          <w:p w14:paraId="491046BE">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在建工程</w:t>
            </w:r>
          </w:p>
          <w:p w14:paraId="49CACEF2">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排放量（固体废物产生量）</w:t>
            </w:r>
            <w:r>
              <w:rPr>
                <w:rFonts w:hint="eastAsia" w:ascii="黑体" w:hAnsi="黑体" w:eastAsia="黑体" w:cs="黑体"/>
                <w:snapToGrid w:val="0"/>
                <w:color w:val="auto"/>
                <w:spacing w:val="-6"/>
                <w:kern w:val="21"/>
                <w:sz w:val="21"/>
                <w:szCs w:val="21"/>
                <w:highlight w:val="none"/>
              </w:rPr>
              <w:fldChar w:fldCharType="begin"/>
            </w:r>
            <w:r>
              <w:rPr>
                <w:rFonts w:hint="eastAsia" w:ascii="黑体" w:hAnsi="黑体" w:eastAsia="黑体" w:cs="黑体"/>
                <w:snapToGrid w:val="0"/>
                <w:color w:val="auto"/>
                <w:spacing w:val="-6"/>
                <w:kern w:val="21"/>
                <w:sz w:val="21"/>
                <w:szCs w:val="21"/>
                <w:highlight w:val="none"/>
              </w:rPr>
              <w:instrText xml:space="preserve"> = 3 \* GB3 \* MERGEFORMAT </w:instrText>
            </w:r>
            <w:r>
              <w:rPr>
                <w:rFonts w:hint="eastAsia" w:ascii="黑体" w:hAnsi="黑体" w:eastAsia="黑体" w:cs="黑体"/>
                <w:snapToGrid w:val="0"/>
                <w:color w:val="auto"/>
                <w:spacing w:val="-6"/>
                <w:kern w:val="21"/>
                <w:sz w:val="21"/>
                <w:szCs w:val="21"/>
                <w:highlight w:val="none"/>
              </w:rPr>
              <w:fldChar w:fldCharType="separate"/>
            </w:r>
            <w:r>
              <w:rPr>
                <w:rFonts w:hint="eastAsia" w:ascii="黑体" w:hAnsi="黑体" w:eastAsia="黑体" w:cs="黑体"/>
                <w:color w:val="auto"/>
                <w:kern w:val="2"/>
                <w:sz w:val="21"/>
                <w:szCs w:val="21"/>
                <w:highlight w:val="none"/>
              </w:rPr>
              <w:t>③</w:t>
            </w:r>
            <w:r>
              <w:rPr>
                <w:rFonts w:hint="eastAsia" w:ascii="黑体" w:hAnsi="黑体" w:eastAsia="黑体" w:cs="黑体"/>
                <w:snapToGrid w:val="0"/>
                <w:color w:val="auto"/>
                <w:spacing w:val="-6"/>
                <w:kern w:val="21"/>
                <w:sz w:val="21"/>
                <w:szCs w:val="21"/>
                <w:highlight w:val="none"/>
              </w:rPr>
              <w:fldChar w:fldCharType="end"/>
            </w:r>
          </w:p>
        </w:tc>
        <w:tc>
          <w:tcPr>
            <w:tcW w:w="1417" w:type="dxa"/>
            <w:noWrap w:val="0"/>
            <w:tcMar>
              <w:left w:w="28" w:type="dxa"/>
              <w:right w:w="28" w:type="dxa"/>
            </w:tcMar>
            <w:vAlign w:val="center"/>
          </w:tcPr>
          <w:p w14:paraId="2275C39F">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本项目</w:t>
            </w:r>
          </w:p>
          <w:p w14:paraId="15EF4299">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排放量（固体废物产生量）</w:t>
            </w:r>
            <w:r>
              <w:rPr>
                <w:rFonts w:hint="eastAsia" w:ascii="黑体" w:hAnsi="黑体" w:eastAsia="黑体" w:cs="黑体"/>
                <w:snapToGrid w:val="0"/>
                <w:color w:val="auto"/>
                <w:spacing w:val="-6"/>
                <w:kern w:val="21"/>
                <w:sz w:val="21"/>
                <w:szCs w:val="21"/>
                <w:highlight w:val="none"/>
              </w:rPr>
              <w:fldChar w:fldCharType="begin"/>
            </w:r>
            <w:r>
              <w:rPr>
                <w:rFonts w:hint="eastAsia" w:ascii="黑体" w:hAnsi="黑体" w:eastAsia="黑体" w:cs="黑体"/>
                <w:snapToGrid w:val="0"/>
                <w:color w:val="auto"/>
                <w:spacing w:val="-6"/>
                <w:kern w:val="21"/>
                <w:sz w:val="21"/>
                <w:szCs w:val="21"/>
                <w:highlight w:val="none"/>
              </w:rPr>
              <w:instrText xml:space="preserve"> = 4 \* GB3 \* MERGEFORMAT </w:instrText>
            </w:r>
            <w:r>
              <w:rPr>
                <w:rFonts w:hint="eastAsia" w:ascii="黑体" w:hAnsi="黑体" w:eastAsia="黑体" w:cs="黑体"/>
                <w:snapToGrid w:val="0"/>
                <w:color w:val="auto"/>
                <w:spacing w:val="-6"/>
                <w:kern w:val="21"/>
                <w:sz w:val="21"/>
                <w:szCs w:val="21"/>
                <w:highlight w:val="none"/>
              </w:rPr>
              <w:fldChar w:fldCharType="separate"/>
            </w:r>
            <w:r>
              <w:rPr>
                <w:rFonts w:hint="eastAsia" w:ascii="黑体" w:hAnsi="黑体" w:eastAsia="黑体" w:cs="黑体"/>
                <w:color w:val="auto"/>
                <w:kern w:val="2"/>
                <w:sz w:val="21"/>
                <w:szCs w:val="21"/>
                <w:highlight w:val="none"/>
              </w:rPr>
              <w:t>④</w:t>
            </w:r>
            <w:r>
              <w:rPr>
                <w:rFonts w:hint="eastAsia" w:ascii="黑体" w:hAnsi="黑体" w:eastAsia="黑体" w:cs="黑体"/>
                <w:snapToGrid w:val="0"/>
                <w:color w:val="auto"/>
                <w:spacing w:val="-6"/>
                <w:kern w:val="21"/>
                <w:sz w:val="21"/>
                <w:szCs w:val="21"/>
                <w:highlight w:val="none"/>
              </w:rPr>
              <w:fldChar w:fldCharType="end"/>
            </w:r>
          </w:p>
        </w:tc>
        <w:tc>
          <w:tcPr>
            <w:tcW w:w="1559" w:type="dxa"/>
            <w:noWrap w:val="0"/>
            <w:tcMar>
              <w:left w:w="28" w:type="dxa"/>
              <w:right w:w="28" w:type="dxa"/>
            </w:tcMar>
            <w:vAlign w:val="center"/>
          </w:tcPr>
          <w:p w14:paraId="0B3CF58F">
            <w:pPr>
              <w:pStyle w:val="94"/>
              <w:spacing w:beforeLines="0" w:afterLines="0" w:line="240" w:lineRule="auto"/>
              <w:jc w:val="center"/>
              <w:rPr>
                <w:rFonts w:hint="eastAsia" w:ascii="黑体" w:hAnsi="黑体" w:eastAsia="黑体" w:cs="黑体"/>
                <w:snapToGrid w:val="0"/>
                <w:color w:val="auto"/>
                <w:spacing w:val="-16"/>
                <w:kern w:val="21"/>
                <w:sz w:val="21"/>
                <w:szCs w:val="21"/>
                <w:highlight w:val="none"/>
              </w:rPr>
            </w:pPr>
            <w:r>
              <w:rPr>
                <w:rFonts w:hint="eastAsia" w:ascii="黑体" w:hAnsi="黑体" w:eastAsia="黑体" w:cs="黑体"/>
                <w:snapToGrid w:val="0"/>
                <w:color w:val="auto"/>
                <w:spacing w:val="-16"/>
                <w:kern w:val="21"/>
                <w:sz w:val="21"/>
                <w:szCs w:val="21"/>
                <w:highlight w:val="none"/>
              </w:rPr>
              <w:t>以新带老削减量</w:t>
            </w:r>
          </w:p>
          <w:p w14:paraId="29A6E87D">
            <w:pPr>
              <w:pStyle w:val="94"/>
              <w:spacing w:beforeLines="0" w:afterLines="0" w:line="240" w:lineRule="auto"/>
              <w:jc w:val="center"/>
              <w:rPr>
                <w:rFonts w:hint="eastAsia" w:ascii="黑体" w:hAnsi="黑体" w:eastAsia="黑体" w:cs="黑体"/>
                <w:snapToGrid w:val="0"/>
                <w:color w:val="auto"/>
                <w:spacing w:val="-16"/>
                <w:kern w:val="21"/>
                <w:sz w:val="21"/>
                <w:szCs w:val="21"/>
                <w:highlight w:val="none"/>
              </w:rPr>
            </w:pPr>
            <w:r>
              <w:rPr>
                <w:rFonts w:hint="eastAsia" w:ascii="黑体" w:hAnsi="黑体" w:eastAsia="黑体" w:cs="黑体"/>
                <w:snapToGrid w:val="0"/>
                <w:color w:val="auto"/>
                <w:spacing w:val="-16"/>
                <w:kern w:val="21"/>
                <w:sz w:val="21"/>
                <w:szCs w:val="21"/>
                <w:highlight w:val="none"/>
              </w:rPr>
              <w:t>（新建项目不填）</w:t>
            </w:r>
            <w:r>
              <w:rPr>
                <w:rFonts w:hint="eastAsia" w:ascii="黑体" w:hAnsi="黑体" w:eastAsia="黑体" w:cs="黑体"/>
                <w:snapToGrid w:val="0"/>
                <w:color w:val="auto"/>
                <w:spacing w:val="-16"/>
                <w:kern w:val="21"/>
                <w:sz w:val="21"/>
                <w:szCs w:val="21"/>
                <w:highlight w:val="none"/>
              </w:rPr>
              <w:fldChar w:fldCharType="begin"/>
            </w:r>
            <w:r>
              <w:rPr>
                <w:rFonts w:hint="eastAsia" w:ascii="黑体" w:hAnsi="黑体" w:eastAsia="黑体" w:cs="黑体"/>
                <w:snapToGrid w:val="0"/>
                <w:color w:val="auto"/>
                <w:spacing w:val="-16"/>
                <w:kern w:val="21"/>
                <w:sz w:val="21"/>
                <w:szCs w:val="21"/>
                <w:highlight w:val="none"/>
              </w:rPr>
              <w:instrText xml:space="preserve"> = 5 \* GB3 \* MERGEFORMAT </w:instrText>
            </w:r>
            <w:r>
              <w:rPr>
                <w:rFonts w:hint="eastAsia" w:ascii="黑体" w:hAnsi="黑体" w:eastAsia="黑体" w:cs="黑体"/>
                <w:snapToGrid w:val="0"/>
                <w:color w:val="auto"/>
                <w:spacing w:val="-16"/>
                <w:kern w:val="21"/>
                <w:sz w:val="21"/>
                <w:szCs w:val="21"/>
                <w:highlight w:val="none"/>
              </w:rPr>
              <w:fldChar w:fldCharType="separate"/>
            </w:r>
            <w:r>
              <w:rPr>
                <w:rFonts w:hint="eastAsia" w:ascii="黑体" w:hAnsi="黑体" w:eastAsia="黑体" w:cs="黑体"/>
                <w:color w:val="auto"/>
                <w:kern w:val="2"/>
                <w:sz w:val="21"/>
                <w:szCs w:val="21"/>
                <w:highlight w:val="none"/>
              </w:rPr>
              <w:t>⑤</w:t>
            </w:r>
            <w:r>
              <w:rPr>
                <w:rFonts w:hint="eastAsia" w:ascii="黑体" w:hAnsi="黑体" w:eastAsia="黑体" w:cs="黑体"/>
                <w:snapToGrid w:val="0"/>
                <w:color w:val="auto"/>
                <w:spacing w:val="-16"/>
                <w:kern w:val="21"/>
                <w:sz w:val="21"/>
                <w:szCs w:val="21"/>
                <w:highlight w:val="none"/>
              </w:rPr>
              <w:fldChar w:fldCharType="end"/>
            </w:r>
          </w:p>
        </w:tc>
        <w:tc>
          <w:tcPr>
            <w:tcW w:w="1985" w:type="dxa"/>
            <w:noWrap w:val="0"/>
            <w:tcMar>
              <w:left w:w="28" w:type="dxa"/>
              <w:right w:w="28" w:type="dxa"/>
            </w:tcMar>
            <w:vAlign w:val="center"/>
          </w:tcPr>
          <w:p w14:paraId="1A9635C1">
            <w:pPr>
              <w:pStyle w:val="94"/>
              <w:spacing w:beforeLines="0" w:afterLines="0" w:line="240" w:lineRule="auto"/>
              <w:jc w:val="center"/>
              <w:rPr>
                <w:rFonts w:hint="eastAsia" w:ascii="黑体" w:hAnsi="黑体" w:eastAsia="黑体" w:cs="黑体"/>
                <w:snapToGrid w:val="0"/>
                <w:color w:val="auto"/>
                <w:spacing w:val="-16"/>
                <w:kern w:val="21"/>
                <w:sz w:val="21"/>
                <w:szCs w:val="21"/>
                <w:highlight w:val="none"/>
              </w:rPr>
            </w:pPr>
            <w:r>
              <w:rPr>
                <w:rFonts w:hint="eastAsia" w:ascii="黑体" w:hAnsi="黑体" w:eastAsia="黑体" w:cs="黑体"/>
                <w:snapToGrid w:val="0"/>
                <w:color w:val="auto"/>
                <w:spacing w:val="-16"/>
                <w:kern w:val="21"/>
                <w:sz w:val="21"/>
                <w:szCs w:val="21"/>
                <w:highlight w:val="none"/>
              </w:rPr>
              <w:t>本项目建成后</w:t>
            </w:r>
          </w:p>
          <w:p w14:paraId="7DB044AB">
            <w:pPr>
              <w:pStyle w:val="94"/>
              <w:spacing w:beforeLines="0" w:afterLines="0" w:line="240" w:lineRule="auto"/>
              <w:jc w:val="center"/>
              <w:rPr>
                <w:rFonts w:hint="eastAsia" w:ascii="黑体" w:hAnsi="黑体" w:eastAsia="黑体" w:cs="黑体"/>
                <w:snapToGrid w:val="0"/>
                <w:color w:val="auto"/>
                <w:spacing w:val="-16"/>
                <w:kern w:val="21"/>
                <w:sz w:val="21"/>
                <w:szCs w:val="21"/>
                <w:highlight w:val="none"/>
              </w:rPr>
            </w:pPr>
            <w:r>
              <w:rPr>
                <w:rFonts w:hint="eastAsia" w:ascii="黑体" w:hAnsi="黑体" w:eastAsia="黑体" w:cs="黑体"/>
                <w:snapToGrid w:val="0"/>
                <w:color w:val="auto"/>
                <w:spacing w:val="-16"/>
                <w:kern w:val="21"/>
                <w:sz w:val="21"/>
                <w:szCs w:val="21"/>
                <w:highlight w:val="none"/>
              </w:rPr>
              <w:t>全厂排放量（固体废物产生量）</w:t>
            </w:r>
            <w:r>
              <w:rPr>
                <w:rFonts w:hint="eastAsia" w:ascii="黑体" w:hAnsi="黑体" w:eastAsia="黑体" w:cs="黑体"/>
                <w:snapToGrid w:val="0"/>
                <w:color w:val="auto"/>
                <w:spacing w:val="-16"/>
                <w:kern w:val="21"/>
                <w:sz w:val="21"/>
                <w:szCs w:val="21"/>
                <w:highlight w:val="none"/>
              </w:rPr>
              <w:fldChar w:fldCharType="begin"/>
            </w:r>
            <w:r>
              <w:rPr>
                <w:rFonts w:hint="eastAsia" w:ascii="黑体" w:hAnsi="黑体" w:eastAsia="黑体" w:cs="黑体"/>
                <w:snapToGrid w:val="0"/>
                <w:color w:val="auto"/>
                <w:spacing w:val="-16"/>
                <w:kern w:val="21"/>
                <w:sz w:val="21"/>
                <w:szCs w:val="21"/>
                <w:highlight w:val="none"/>
              </w:rPr>
              <w:instrText xml:space="preserve"> = 6 \* GB3 \* MERGEFORMAT </w:instrText>
            </w:r>
            <w:r>
              <w:rPr>
                <w:rFonts w:hint="eastAsia" w:ascii="黑体" w:hAnsi="黑体" w:eastAsia="黑体" w:cs="黑体"/>
                <w:snapToGrid w:val="0"/>
                <w:color w:val="auto"/>
                <w:spacing w:val="-16"/>
                <w:kern w:val="21"/>
                <w:sz w:val="21"/>
                <w:szCs w:val="21"/>
                <w:highlight w:val="none"/>
              </w:rPr>
              <w:fldChar w:fldCharType="separate"/>
            </w:r>
            <w:r>
              <w:rPr>
                <w:rFonts w:hint="eastAsia" w:ascii="黑体" w:hAnsi="黑体" w:eastAsia="黑体" w:cs="黑体"/>
                <w:color w:val="auto"/>
                <w:kern w:val="2"/>
                <w:sz w:val="21"/>
                <w:szCs w:val="21"/>
                <w:highlight w:val="none"/>
              </w:rPr>
              <w:t>⑥</w:t>
            </w:r>
            <w:r>
              <w:rPr>
                <w:rFonts w:hint="eastAsia" w:ascii="黑体" w:hAnsi="黑体" w:eastAsia="黑体" w:cs="黑体"/>
                <w:snapToGrid w:val="0"/>
                <w:color w:val="auto"/>
                <w:spacing w:val="-16"/>
                <w:kern w:val="21"/>
                <w:sz w:val="21"/>
                <w:szCs w:val="21"/>
                <w:highlight w:val="none"/>
              </w:rPr>
              <w:fldChar w:fldCharType="end"/>
            </w:r>
          </w:p>
        </w:tc>
        <w:tc>
          <w:tcPr>
            <w:tcW w:w="1569" w:type="dxa"/>
            <w:noWrap w:val="0"/>
            <w:tcMar>
              <w:left w:w="28" w:type="dxa"/>
              <w:right w:w="28" w:type="dxa"/>
            </w:tcMar>
            <w:vAlign w:val="center"/>
          </w:tcPr>
          <w:p w14:paraId="63D1E0B1">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t>变化量</w:t>
            </w:r>
          </w:p>
          <w:p w14:paraId="0FF997CB">
            <w:pPr>
              <w:pStyle w:val="94"/>
              <w:spacing w:beforeLines="0" w:afterLines="0" w:line="240" w:lineRule="auto"/>
              <w:jc w:val="center"/>
              <w:rPr>
                <w:rFonts w:hint="eastAsia" w:ascii="黑体" w:hAnsi="黑体" w:eastAsia="黑体" w:cs="黑体"/>
                <w:snapToGrid w:val="0"/>
                <w:color w:val="auto"/>
                <w:spacing w:val="-6"/>
                <w:kern w:val="21"/>
                <w:sz w:val="21"/>
                <w:szCs w:val="21"/>
                <w:highlight w:val="none"/>
              </w:rPr>
            </w:pPr>
            <w:r>
              <w:rPr>
                <w:rFonts w:hint="eastAsia" w:ascii="黑体" w:hAnsi="黑体" w:eastAsia="黑体" w:cs="黑体"/>
                <w:snapToGrid w:val="0"/>
                <w:color w:val="auto"/>
                <w:spacing w:val="-6"/>
                <w:kern w:val="21"/>
                <w:sz w:val="21"/>
                <w:szCs w:val="21"/>
                <w:highlight w:val="none"/>
              </w:rPr>
              <w:fldChar w:fldCharType="begin"/>
            </w:r>
            <w:r>
              <w:rPr>
                <w:rFonts w:hint="eastAsia" w:ascii="黑体" w:hAnsi="黑体" w:eastAsia="黑体" w:cs="黑体"/>
                <w:snapToGrid w:val="0"/>
                <w:color w:val="auto"/>
                <w:spacing w:val="-6"/>
                <w:kern w:val="21"/>
                <w:sz w:val="21"/>
                <w:szCs w:val="21"/>
                <w:highlight w:val="none"/>
              </w:rPr>
              <w:instrText xml:space="preserve"> = 7 \* GB3 \* MERGEFORMAT </w:instrText>
            </w:r>
            <w:r>
              <w:rPr>
                <w:rFonts w:hint="eastAsia" w:ascii="黑体" w:hAnsi="黑体" w:eastAsia="黑体" w:cs="黑体"/>
                <w:snapToGrid w:val="0"/>
                <w:color w:val="auto"/>
                <w:spacing w:val="-6"/>
                <w:kern w:val="21"/>
                <w:sz w:val="21"/>
                <w:szCs w:val="21"/>
                <w:highlight w:val="none"/>
              </w:rPr>
              <w:fldChar w:fldCharType="separate"/>
            </w:r>
            <w:r>
              <w:rPr>
                <w:rFonts w:hint="eastAsia" w:ascii="黑体" w:hAnsi="黑体" w:eastAsia="黑体" w:cs="黑体"/>
                <w:color w:val="auto"/>
                <w:kern w:val="2"/>
                <w:sz w:val="21"/>
                <w:szCs w:val="21"/>
                <w:highlight w:val="none"/>
              </w:rPr>
              <w:t>⑦</w:t>
            </w:r>
            <w:r>
              <w:rPr>
                <w:rFonts w:hint="eastAsia" w:ascii="黑体" w:hAnsi="黑体" w:eastAsia="黑体" w:cs="黑体"/>
                <w:snapToGrid w:val="0"/>
                <w:color w:val="auto"/>
                <w:spacing w:val="-6"/>
                <w:kern w:val="21"/>
                <w:sz w:val="21"/>
                <w:szCs w:val="21"/>
                <w:highlight w:val="none"/>
              </w:rPr>
              <w:fldChar w:fldCharType="end"/>
            </w:r>
          </w:p>
        </w:tc>
      </w:tr>
      <w:tr w14:paraId="2E1A37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162" w:type="dxa"/>
            <w:vMerge w:val="restart"/>
            <w:noWrap w:val="0"/>
            <w:vAlign w:val="center"/>
          </w:tcPr>
          <w:p w14:paraId="11853E4B">
            <w:pPr>
              <w:pStyle w:val="112"/>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废气</w:t>
            </w:r>
          </w:p>
        </w:tc>
        <w:tc>
          <w:tcPr>
            <w:tcW w:w="1560" w:type="dxa"/>
            <w:noWrap w:val="0"/>
            <w:vAlign w:val="center"/>
          </w:tcPr>
          <w:p w14:paraId="2D2F9DDA">
            <w:pPr>
              <w:pStyle w:val="112"/>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val="zh-CN"/>
              </w:rPr>
              <w:t>颗粒物</w:t>
            </w:r>
          </w:p>
        </w:tc>
        <w:tc>
          <w:tcPr>
            <w:tcW w:w="1701" w:type="dxa"/>
            <w:shd w:val="clear" w:color="auto" w:fill="auto"/>
            <w:noWrap w:val="0"/>
            <w:vAlign w:val="center"/>
          </w:tcPr>
          <w:p w14:paraId="7B446FDB">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color w:val="auto"/>
                <w:sz w:val="21"/>
                <w:szCs w:val="21"/>
                <w:highlight w:val="none"/>
                <w:lang w:val="en-US" w:eastAsia="zh-CN"/>
              </w:rPr>
              <w:t>0.03</w:t>
            </w:r>
          </w:p>
        </w:tc>
        <w:tc>
          <w:tcPr>
            <w:tcW w:w="1275" w:type="dxa"/>
            <w:shd w:val="clear" w:color="auto" w:fill="auto"/>
            <w:noWrap w:val="0"/>
            <w:vAlign w:val="center"/>
          </w:tcPr>
          <w:p w14:paraId="470EFB4A">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0.38</w:t>
            </w:r>
          </w:p>
        </w:tc>
        <w:tc>
          <w:tcPr>
            <w:tcW w:w="1560" w:type="dxa"/>
            <w:noWrap w:val="0"/>
            <w:vAlign w:val="center"/>
          </w:tcPr>
          <w:p w14:paraId="069154AB">
            <w:pPr>
              <w:pStyle w:val="112"/>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w:t>
            </w:r>
          </w:p>
        </w:tc>
        <w:tc>
          <w:tcPr>
            <w:tcW w:w="1417" w:type="dxa"/>
            <w:shd w:val="clear" w:color="auto" w:fill="auto"/>
            <w:noWrap w:val="0"/>
            <w:vAlign w:val="center"/>
          </w:tcPr>
          <w:p w14:paraId="690A7E8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0.3</w:t>
            </w:r>
            <w:r>
              <w:rPr>
                <w:rFonts w:hint="eastAsia" w:cs="Times New Roman"/>
                <w:color w:val="auto"/>
                <w:sz w:val="21"/>
                <w:szCs w:val="21"/>
                <w:highlight w:val="none"/>
                <w:lang w:val="en-US" w:eastAsia="zh-CN"/>
              </w:rPr>
              <w:t>5</w:t>
            </w:r>
          </w:p>
        </w:tc>
        <w:tc>
          <w:tcPr>
            <w:tcW w:w="1559" w:type="dxa"/>
            <w:shd w:val="clear" w:color="auto" w:fill="auto"/>
            <w:noWrap w:val="0"/>
            <w:vAlign w:val="center"/>
          </w:tcPr>
          <w:p w14:paraId="2316C4F8">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color w:val="auto"/>
                <w:sz w:val="21"/>
                <w:szCs w:val="21"/>
                <w:highlight w:val="none"/>
                <w:lang w:val="en-US" w:eastAsia="zh-CN"/>
              </w:rPr>
              <w:t>0.03</w:t>
            </w:r>
          </w:p>
        </w:tc>
        <w:tc>
          <w:tcPr>
            <w:tcW w:w="1985" w:type="dxa"/>
            <w:shd w:val="clear" w:color="auto" w:fill="auto"/>
            <w:noWrap w:val="0"/>
            <w:vAlign w:val="center"/>
          </w:tcPr>
          <w:p w14:paraId="4F599BD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0.3</w:t>
            </w:r>
            <w:r>
              <w:rPr>
                <w:rFonts w:hint="eastAsia" w:cs="Times New Roman"/>
                <w:color w:val="auto"/>
                <w:sz w:val="21"/>
                <w:szCs w:val="21"/>
                <w:highlight w:val="none"/>
                <w:lang w:val="en-US" w:eastAsia="zh-CN"/>
              </w:rPr>
              <w:t>5</w:t>
            </w:r>
          </w:p>
        </w:tc>
        <w:tc>
          <w:tcPr>
            <w:tcW w:w="1569" w:type="dxa"/>
            <w:shd w:val="clear" w:color="auto" w:fill="auto"/>
            <w:noWrap w:val="0"/>
            <w:vAlign w:val="center"/>
          </w:tcPr>
          <w:p w14:paraId="6BDFE17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r>
              <w:rPr>
                <w:rFonts w:hint="eastAsia" w:cs="Times New Roman"/>
                <w:color w:val="auto"/>
                <w:kern w:val="2"/>
                <w:sz w:val="21"/>
                <w:szCs w:val="21"/>
                <w:highlight w:val="none"/>
                <w:lang w:val="en-US" w:eastAsia="zh-CN" w:bidi="ar-SA"/>
              </w:rPr>
              <w:t>0.32</w:t>
            </w:r>
          </w:p>
        </w:tc>
      </w:tr>
      <w:tr w14:paraId="5632E7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1162" w:type="dxa"/>
            <w:vMerge w:val="continue"/>
            <w:noWrap w:val="0"/>
            <w:vAlign w:val="center"/>
          </w:tcPr>
          <w:p w14:paraId="0159475E">
            <w:pPr>
              <w:pStyle w:val="112"/>
              <w:jc w:val="center"/>
              <w:rPr>
                <w:rFonts w:hint="default" w:ascii="Times New Roman" w:hAnsi="Times New Roman" w:cs="Times New Roman"/>
                <w:color w:val="auto"/>
                <w:sz w:val="21"/>
                <w:szCs w:val="21"/>
                <w:highlight w:val="none"/>
              </w:rPr>
            </w:pPr>
          </w:p>
        </w:tc>
        <w:tc>
          <w:tcPr>
            <w:tcW w:w="1560" w:type="dxa"/>
            <w:noWrap w:val="0"/>
            <w:vAlign w:val="center"/>
          </w:tcPr>
          <w:p w14:paraId="010E5DA7">
            <w:pPr>
              <w:pStyle w:val="112"/>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SO</w:t>
            </w:r>
            <w:r>
              <w:rPr>
                <w:rStyle w:val="236"/>
                <w:rFonts w:hint="default" w:ascii="Times New Roman" w:hAnsi="Times New Roman" w:cs="Times New Roman"/>
                <w:color w:val="auto"/>
                <w:sz w:val="21"/>
                <w:szCs w:val="21"/>
                <w:highlight w:val="none"/>
              </w:rPr>
              <w:t>2</w:t>
            </w:r>
          </w:p>
        </w:tc>
        <w:tc>
          <w:tcPr>
            <w:tcW w:w="1701" w:type="dxa"/>
            <w:shd w:val="clear" w:color="auto" w:fill="auto"/>
            <w:noWrap w:val="0"/>
            <w:vAlign w:val="center"/>
          </w:tcPr>
          <w:p w14:paraId="2376A137">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color w:val="auto"/>
                <w:sz w:val="21"/>
                <w:szCs w:val="21"/>
                <w:highlight w:val="none"/>
                <w:lang w:val="en-US" w:eastAsia="zh-CN"/>
              </w:rPr>
              <w:t>1.36</w:t>
            </w:r>
          </w:p>
        </w:tc>
        <w:tc>
          <w:tcPr>
            <w:tcW w:w="1275" w:type="dxa"/>
            <w:shd w:val="clear" w:color="auto" w:fill="auto"/>
            <w:noWrap w:val="0"/>
            <w:vAlign w:val="center"/>
          </w:tcPr>
          <w:p w14:paraId="2DBDA110">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1.53</w:t>
            </w:r>
          </w:p>
        </w:tc>
        <w:tc>
          <w:tcPr>
            <w:tcW w:w="1560" w:type="dxa"/>
            <w:noWrap w:val="0"/>
            <w:vAlign w:val="center"/>
          </w:tcPr>
          <w:p w14:paraId="1C27CF0E">
            <w:pPr>
              <w:pStyle w:val="112"/>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w:t>
            </w:r>
          </w:p>
        </w:tc>
        <w:tc>
          <w:tcPr>
            <w:tcW w:w="1417" w:type="dxa"/>
            <w:shd w:val="clear" w:color="auto" w:fill="auto"/>
            <w:noWrap w:val="0"/>
            <w:vAlign w:val="center"/>
          </w:tcPr>
          <w:p w14:paraId="467C5B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2.15</w:t>
            </w:r>
          </w:p>
        </w:tc>
        <w:tc>
          <w:tcPr>
            <w:tcW w:w="1559" w:type="dxa"/>
            <w:shd w:val="clear" w:color="auto" w:fill="auto"/>
            <w:noWrap w:val="0"/>
            <w:vAlign w:val="center"/>
          </w:tcPr>
          <w:p w14:paraId="60511CAC">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color w:val="auto"/>
                <w:sz w:val="21"/>
                <w:szCs w:val="21"/>
                <w:highlight w:val="none"/>
                <w:lang w:val="en-US" w:eastAsia="zh-CN"/>
              </w:rPr>
              <w:t>1.36</w:t>
            </w:r>
          </w:p>
        </w:tc>
        <w:tc>
          <w:tcPr>
            <w:tcW w:w="1985" w:type="dxa"/>
            <w:shd w:val="clear" w:color="auto" w:fill="auto"/>
            <w:noWrap w:val="0"/>
            <w:vAlign w:val="center"/>
          </w:tcPr>
          <w:p w14:paraId="76EB0C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2.15</w:t>
            </w:r>
          </w:p>
        </w:tc>
        <w:tc>
          <w:tcPr>
            <w:tcW w:w="1569" w:type="dxa"/>
            <w:shd w:val="clear" w:color="auto" w:fill="auto"/>
            <w:noWrap w:val="0"/>
            <w:vAlign w:val="center"/>
          </w:tcPr>
          <w:p w14:paraId="782A0E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+0.79</w:t>
            </w:r>
          </w:p>
        </w:tc>
      </w:tr>
      <w:tr w14:paraId="1B87B4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2" w:type="dxa"/>
            <w:vMerge w:val="continue"/>
            <w:noWrap w:val="0"/>
            <w:vAlign w:val="center"/>
          </w:tcPr>
          <w:p w14:paraId="4C472A46">
            <w:pPr>
              <w:pStyle w:val="112"/>
              <w:jc w:val="center"/>
              <w:rPr>
                <w:rFonts w:hint="default" w:ascii="Times New Roman" w:hAnsi="Times New Roman" w:cs="Times New Roman"/>
                <w:color w:val="auto"/>
                <w:sz w:val="21"/>
                <w:szCs w:val="21"/>
                <w:highlight w:val="none"/>
              </w:rPr>
            </w:pPr>
          </w:p>
        </w:tc>
        <w:tc>
          <w:tcPr>
            <w:tcW w:w="1560" w:type="dxa"/>
            <w:noWrap w:val="0"/>
            <w:vAlign w:val="center"/>
          </w:tcPr>
          <w:p w14:paraId="6057C780">
            <w:pPr>
              <w:pStyle w:val="112"/>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NO</w:t>
            </w:r>
            <w:r>
              <w:rPr>
                <w:rStyle w:val="236"/>
                <w:rFonts w:hint="default" w:ascii="Times New Roman" w:hAnsi="Times New Roman" w:cs="Times New Roman"/>
                <w:color w:val="auto"/>
                <w:sz w:val="21"/>
                <w:szCs w:val="21"/>
                <w:highlight w:val="none"/>
              </w:rPr>
              <w:t>X</w:t>
            </w:r>
          </w:p>
        </w:tc>
        <w:tc>
          <w:tcPr>
            <w:tcW w:w="1701" w:type="dxa"/>
            <w:shd w:val="clear" w:color="auto" w:fill="auto"/>
            <w:noWrap w:val="0"/>
            <w:vAlign w:val="center"/>
          </w:tcPr>
          <w:p w14:paraId="2C76480A">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1.0</w:t>
            </w:r>
            <w:r>
              <w:rPr>
                <w:rFonts w:hint="eastAsia" w:cs="Times New Roman"/>
                <w:color w:val="auto"/>
                <w:sz w:val="21"/>
                <w:szCs w:val="21"/>
                <w:highlight w:val="none"/>
                <w:lang w:val="en-US" w:eastAsia="zh-CN"/>
              </w:rPr>
              <w:t>8</w:t>
            </w:r>
          </w:p>
        </w:tc>
        <w:tc>
          <w:tcPr>
            <w:tcW w:w="1275" w:type="dxa"/>
            <w:shd w:val="clear" w:color="auto" w:fill="auto"/>
            <w:noWrap w:val="0"/>
            <w:vAlign w:val="center"/>
          </w:tcPr>
          <w:p w14:paraId="33B07D93">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sz w:val="21"/>
                <w:szCs w:val="21"/>
                <w:highlight w:val="none"/>
                <w:lang w:val="en-US" w:eastAsia="zh-CN"/>
              </w:rPr>
              <w:t>1.92</w:t>
            </w:r>
          </w:p>
        </w:tc>
        <w:tc>
          <w:tcPr>
            <w:tcW w:w="1560" w:type="dxa"/>
            <w:noWrap w:val="0"/>
            <w:vAlign w:val="center"/>
          </w:tcPr>
          <w:p w14:paraId="0A2638D9">
            <w:pPr>
              <w:pStyle w:val="112"/>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w:t>
            </w:r>
          </w:p>
        </w:tc>
        <w:tc>
          <w:tcPr>
            <w:tcW w:w="1417" w:type="dxa"/>
            <w:shd w:val="clear" w:color="auto" w:fill="auto"/>
            <w:noWrap w:val="0"/>
            <w:vAlign w:val="center"/>
          </w:tcPr>
          <w:p w14:paraId="7BFDB30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4.43</w:t>
            </w:r>
          </w:p>
        </w:tc>
        <w:tc>
          <w:tcPr>
            <w:tcW w:w="1559" w:type="dxa"/>
            <w:shd w:val="clear" w:color="auto" w:fill="auto"/>
            <w:noWrap w:val="0"/>
            <w:vAlign w:val="center"/>
          </w:tcPr>
          <w:p w14:paraId="45EFC4FD">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1.0</w:t>
            </w:r>
            <w:r>
              <w:rPr>
                <w:rFonts w:hint="eastAsia" w:cs="Times New Roman"/>
                <w:color w:val="auto"/>
                <w:sz w:val="21"/>
                <w:szCs w:val="21"/>
                <w:highlight w:val="none"/>
                <w:lang w:val="en-US" w:eastAsia="zh-CN"/>
              </w:rPr>
              <w:t>8</w:t>
            </w:r>
          </w:p>
        </w:tc>
        <w:tc>
          <w:tcPr>
            <w:tcW w:w="1985" w:type="dxa"/>
            <w:shd w:val="clear" w:color="auto" w:fill="auto"/>
            <w:noWrap w:val="0"/>
            <w:vAlign w:val="center"/>
          </w:tcPr>
          <w:p w14:paraId="636310B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4.43</w:t>
            </w:r>
          </w:p>
        </w:tc>
        <w:tc>
          <w:tcPr>
            <w:tcW w:w="1569" w:type="dxa"/>
            <w:shd w:val="clear" w:color="auto" w:fill="auto"/>
            <w:noWrap w:val="0"/>
            <w:vAlign w:val="center"/>
          </w:tcPr>
          <w:p w14:paraId="36E5A72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+3.</w:t>
            </w:r>
            <w:r>
              <w:rPr>
                <w:rFonts w:hint="eastAsia" w:cs="Times New Roman"/>
                <w:color w:val="auto"/>
                <w:kern w:val="0"/>
                <w:sz w:val="21"/>
                <w:szCs w:val="21"/>
                <w:highlight w:val="none"/>
                <w:lang w:val="en-US" w:eastAsia="zh-CN" w:bidi="ar-SA"/>
              </w:rPr>
              <w:t>35</w:t>
            </w:r>
          </w:p>
        </w:tc>
      </w:tr>
      <w:tr w14:paraId="208FB8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2" w:type="dxa"/>
            <w:vMerge w:val="restart"/>
            <w:noWrap w:val="0"/>
            <w:vAlign w:val="center"/>
          </w:tcPr>
          <w:p w14:paraId="5CDF7A18">
            <w:pPr>
              <w:pStyle w:val="112"/>
              <w:jc w:val="center"/>
              <w:rPr>
                <w:rFonts w:hint="default" w:ascii="Times New Roman" w:hAnsi="Times New Roman" w:cs="Times New Roman"/>
                <w:color w:val="auto"/>
                <w:sz w:val="21"/>
                <w:szCs w:val="21"/>
                <w:highlight w:val="none"/>
                <w:shd w:val="clear" w:color="auto" w:fill="auto"/>
              </w:rPr>
            </w:pPr>
            <w:r>
              <w:rPr>
                <w:rFonts w:hint="default" w:ascii="Times New Roman" w:hAnsi="Times New Roman" w:cs="Times New Roman"/>
                <w:color w:val="auto"/>
                <w:sz w:val="21"/>
                <w:szCs w:val="21"/>
                <w:highlight w:val="none"/>
                <w:shd w:val="clear" w:color="auto" w:fill="auto"/>
              </w:rPr>
              <w:t>废水</w:t>
            </w:r>
          </w:p>
        </w:tc>
        <w:tc>
          <w:tcPr>
            <w:tcW w:w="1560" w:type="dxa"/>
            <w:noWrap w:val="0"/>
            <w:vAlign w:val="center"/>
          </w:tcPr>
          <w:p w14:paraId="0C2DD6F1">
            <w:pPr>
              <w:pStyle w:val="112"/>
              <w:jc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COD</w:t>
            </w:r>
          </w:p>
        </w:tc>
        <w:tc>
          <w:tcPr>
            <w:tcW w:w="1701" w:type="dxa"/>
            <w:shd w:val="clear" w:color="auto" w:fill="auto"/>
            <w:noWrap w:val="0"/>
            <w:vAlign w:val="center"/>
          </w:tcPr>
          <w:p w14:paraId="652B96EC">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w:t>
            </w:r>
          </w:p>
        </w:tc>
        <w:tc>
          <w:tcPr>
            <w:tcW w:w="1275" w:type="dxa"/>
            <w:shd w:val="clear" w:color="auto" w:fill="auto"/>
            <w:noWrap w:val="0"/>
            <w:vAlign w:val="center"/>
          </w:tcPr>
          <w:p w14:paraId="63C78ACC">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w:t>
            </w:r>
          </w:p>
        </w:tc>
        <w:tc>
          <w:tcPr>
            <w:tcW w:w="1560" w:type="dxa"/>
            <w:noWrap w:val="0"/>
            <w:vAlign w:val="center"/>
          </w:tcPr>
          <w:p w14:paraId="52C81406">
            <w:pPr>
              <w:pStyle w:val="112"/>
              <w:jc w:val="center"/>
              <w:rPr>
                <w:rFonts w:hint="default"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c>
          <w:tcPr>
            <w:tcW w:w="1417" w:type="dxa"/>
            <w:noWrap w:val="0"/>
            <w:vAlign w:val="center"/>
          </w:tcPr>
          <w:p w14:paraId="2D02BD2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0.1</w:t>
            </w:r>
            <w:r>
              <w:rPr>
                <w:rFonts w:hint="eastAsia" w:cs="Times New Roman"/>
                <w:color w:val="auto"/>
                <w:kern w:val="2"/>
                <w:sz w:val="21"/>
                <w:szCs w:val="21"/>
                <w:highlight w:val="none"/>
                <w:lang w:val="en-US" w:eastAsia="zh-CN" w:bidi="ar-SA"/>
              </w:rPr>
              <w:t>08</w:t>
            </w:r>
          </w:p>
        </w:tc>
        <w:tc>
          <w:tcPr>
            <w:tcW w:w="1559" w:type="dxa"/>
            <w:shd w:val="clear" w:color="auto" w:fill="auto"/>
            <w:noWrap w:val="0"/>
            <w:vAlign w:val="center"/>
          </w:tcPr>
          <w:p w14:paraId="26E35EB0">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w:t>
            </w:r>
          </w:p>
        </w:tc>
        <w:tc>
          <w:tcPr>
            <w:tcW w:w="1985" w:type="dxa"/>
            <w:noWrap w:val="0"/>
            <w:vAlign w:val="center"/>
          </w:tcPr>
          <w:p w14:paraId="05A9109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0.1</w:t>
            </w:r>
            <w:r>
              <w:rPr>
                <w:rFonts w:hint="eastAsia" w:cs="Times New Roman"/>
                <w:color w:val="auto"/>
                <w:kern w:val="2"/>
                <w:sz w:val="21"/>
                <w:szCs w:val="21"/>
                <w:highlight w:val="none"/>
                <w:lang w:val="en-US" w:eastAsia="zh-CN" w:bidi="ar-SA"/>
              </w:rPr>
              <w:t>08</w:t>
            </w:r>
          </w:p>
        </w:tc>
        <w:tc>
          <w:tcPr>
            <w:tcW w:w="1569" w:type="dxa"/>
            <w:shd w:val="clear" w:color="auto" w:fill="auto"/>
            <w:noWrap w:val="0"/>
            <w:vAlign w:val="center"/>
          </w:tcPr>
          <w:p w14:paraId="47FC41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r>
              <w:rPr>
                <w:rFonts w:hint="eastAsia" w:cs="Times New Roman"/>
                <w:color w:val="auto"/>
                <w:kern w:val="2"/>
                <w:sz w:val="21"/>
                <w:szCs w:val="21"/>
                <w:highlight w:val="none"/>
                <w:lang w:val="en-US" w:eastAsia="zh-CN" w:bidi="ar-SA"/>
              </w:rPr>
              <w:t>0.108</w:t>
            </w:r>
          </w:p>
        </w:tc>
      </w:tr>
      <w:tr w14:paraId="7DC40F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2" w:type="dxa"/>
            <w:vMerge w:val="continue"/>
            <w:noWrap w:val="0"/>
            <w:vAlign w:val="center"/>
          </w:tcPr>
          <w:p w14:paraId="3822BA6E">
            <w:pPr>
              <w:pStyle w:val="112"/>
              <w:jc w:val="center"/>
              <w:rPr>
                <w:rFonts w:hint="default" w:ascii="Times New Roman" w:hAnsi="Times New Roman" w:cs="Times New Roman"/>
                <w:color w:val="auto"/>
                <w:sz w:val="21"/>
                <w:szCs w:val="21"/>
                <w:highlight w:val="none"/>
                <w:shd w:val="clear" w:color="auto" w:fill="auto"/>
              </w:rPr>
            </w:pPr>
          </w:p>
        </w:tc>
        <w:tc>
          <w:tcPr>
            <w:tcW w:w="1560" w:type="dxa"/>
            <w:noWrap w:val="0"/>
            <w:vAlign w:val="center"/>
          </w:tcPr>
          <w:p w14:paraId="27776ECF">
            <w:pPr>
              <w:pStyle w:val="112"/>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氨氮</w:t>
            </w:r>
          </w:p>
        </w:tc>
        <w:tc>
          <w:tcPr>
            <w:tcW w:w="1701" w:type="dxa"/>
            <w:shd w:val="clear" w:color="auto" w:fill="auto"/>
            <w:noWrap w:val="0"/>
            <w:vAlign w:val="center"/>
          </w:tcPr>
          <w:p w14:paraId="5AC3B9E1">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w:t>
            </w:r>
          </w:p>
        </w:tc>
        <w:tc>
          <w:tcPr>
            <w:tcW w:w="1275" w:type="dxa"/>
            <w:shd w:val="clear" w:color="auto" w:fill="auto"/>
            <w:noWrap w:val="0"/>
            <w:vAlign w:val="center"/>
          </w:tcPr>
          <w:p w14:paraId="12D4AA41">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sz w:val="21"/>
                <w:szCs w:val="21"/>
                <w:highlight w:val="none"/>
                <w:lang w:val="en-US" w:eastAsia="zh-CN"/>
              </w:rPr>
              <w:t>/</w:t>
            </w:r>
          </w:p>
        </w:tc>
        <w:tc>
          <w:tcPr>
            <w:tcW w:w="1560" w:type="dxa"/>
            <w:noWrap w:val="0"/>
            <w:vAlign w:val="center"/>
          </w:tcPr>
          <w:p w14:paraId="23199F37">
            <w:pPr>
              <w:pStyle w:val="112"/>
              <w:jc w:val="center"/>
              <w:rPr>
                <w:rFonts w:hint="default" w:ascii="Times New Roman" w:hAnsi="Times New Roman" w:cs="Times New Roman"/>
                <w:color w:val="auto"/>
                <w:sz w:val="21"/>
                <w:szCs w:val="21"/>
                <w:highlight w:val="none"/>
                <w:shd w:val="clear" w:color="auto" w:fill="auto"/>
                <w:lang w:val="en-US" w:eastAsia="zh-CN"/>
              </w:rPr>
            </w:pPr>
            <w:r>
              <w:rPr>
                <w:rFonts w:hint="default" w:ascii="Times New Roman" w:hAnsi="Times New Roman" w:cs="Times New Roman"/>
                <w:color w:val="auto"/>
                <w:sz w:val="21"/>
                <w:szCs w:val="21"/>
                <w:highlight w:val="none"/>
                <w:shd w:val="clear" w:color="auto" w:fill="auto"/>
                <w:lang w:val="en-US" w:eastAsia="zh-CN"/>
              </w:rPr>
              <w:t>/</w:t>
            </w:r>
          </w:p>
        </w:tc>
        <w:tc>
          <w:tcPr>
            <w:tcW w:w="1417" w:type="dxa"/>
            <w:noWrap w:val="0"/>
            <w:vAlign w:val="center"/>
          </w:tcPr>
          <w:p w14:paraId="310B96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559" w:type="dxa"/>
            <w:shd w:val="clear" w:color="auto" w:fill="auto"/>
            <w:noWrap w:val="0"/>
            <w:vAlign w:val="center"/>
          </w:tcPr>
          <w:p w14:paraId="4FC6C0A7">
            <w:pPr>
              <w:keepNext w:val="0"/>
              <w:keepLines w:val="0"/>
              <w:pageBreakBefore w:val="0"/>
              <w:widowControl/>
              <w:kinsoku/>
              <w:wordWrap/>
              <w:overflowPunct/>
              <w:topLinePunct w:val="0"/>
              <w:bidi w:val="0"/>
              <w:spacing w:line="240" w:lineRule="auto"/>
              <w:ind w:left="0" w:leftChars="0"/>
              <w:jc w:val="center"/>
              <w:textAlignment w:val="auto"/>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w:t>
            </w:r>
          </w:p>
        </w:tc>
        <w:tc>
          <w:tcPr>
            <w:tcW w:w="1985" w:type="dxa"/>
            <w:noWrap w:val="0"/>
            <w:vAlign w:val="center"/>
          </w:tcPr>
          <w:p w14:paraId="0A7F81A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w:t>
            </w:r>
          </w:p>
        </w:tc>
        <w:tc>
          <w:tcPr>
            <w:tcW w:w="1569" w:type="dxa"/>
            <w:shd w:val="clear" w:color="auto" w:fill="auto"/>
            <w:noWrap w:val="0"/>
            <w:vAlign w:val="center"/>
          </w:tcPr>
          <w:p w14:paraId="20FB2B3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r>
      <w:tr w14:paraId="60EC63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2" w:type="dxa"/>
            <w:vMerge w:val="restart"/>
            <w:noWrap w:val="0"/>
            <w:vAlign w:val="center"/>
          </w:tcPr>
          <w:p w14:paraId="795C080B">
            <w:pPr>
              <w:pStyle w:val="112"/>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一般工业固体废物</w:t>
            </w:r>
          </w:p>
        </w:tc>
        <w:tc>
          <w:tcPr>
            <w:tcW w:w="1560" w:type="dxa"/>
            <w:shd w:val="clear" w:color="auto" w:fill="auto"/>
            <w:noWrap w:val="0"/>
            <w:vAlign w:val="center"/>
          </w:tcPr>
          <w:p w14:paraId="0793CD9D">
            <w:pPr>
              <w:tabs>
                <w:tab w:val="center" w:pos="4153"/>
                <w:tab w:val="right" w:pos="8306"/>
              </w:tabs>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cs="Times New Roman"/>
                <w:snapToGrid w:val="0"/>
                <w:color w:val="auto"/>
                <w:szCs w:val="21"/>
                <w:highlight w:val="none"/>
                <w:lang w:val="en-US" w:eastAsia="zh-CN"/>
              </w:rPr>
              <w:t>废弃布袋</w:t>
            </w:r>
          </w:p>
        </w:tc>
        <w:tc>
          <w:tcPr>
            <w:tcW w:w="1701" w:type="dxa"/>
            <w:noWrap w:val="0"/>
            <w:vAlign w:val="center"/>
          </w:tcPr>
          <w:p w14:paraId="5EEBAE4C">
            <w:pPr>
              <w:pStyle w:val="112"/>
              <w:jc w:val="center"/>
              <w:rPr>
                <w:rFonts w:hint="default" w:ascii="Times New Roman" w:hAnsi="Times New Roman" w:eastAsia="宋体" w:cs="Times New Roman"/>
                <w:color w:val="auto"/>
                <w:sz w:val="21"/>
                <w:szCs w:val="21"/>
                <w:highlight w:val="none"/>
                <w:lang w:val="en-US" w:eastAsia="zh-CN"/>
              </w:rPr>
            </w:pPr>
            <w:r>
              <w:rPr>
                <w:rFonts w:hint="eastAsia" w:cs="Times New Roman"/>
                <w:snapToGrid w:val="0"/>
                <w:color w:val="auto"/>
                <w:sz w:val="21"/>
                <w:szCs w:val="21"/>
                <w:highlight w:val="none"/>
                <w:lang w:val="en-US" w:eastAsia="zh-CN"/>
              </w:rPr>
              <w:t>0.2</w:t>
            </w:r>
          </w:p>
        </w:tc>
        <w:tc>
          <w:tcPr>
            <w:tcW w:w="1275" w:type="dxa"/>
            <w:noWrap w:val="0"/>
            <w:vAlign w:val="center"/>
          </w:tcPr>
          <w:p w14:paraId="2D315A50">
            <w:pPr>
              <w:pStyle w:val="112"/>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560" w:type="dxa"/>
            <w:noWrap w:val="0"/>
            <w:vAlign w:val="center"/>
          </w:tcPr>
          <w:p w14:paraId="3C939161">
            <w:pPr>
              <w:pStyle w:val="112"/>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417" w:type="dxa"/>
            <w:shd w:val="clear" w:color="auto" w:fill="auto"/>
            <w:noWrap w:val="0"/>
            <w:vAlign w:val="center"/>
          </w:tcPr>
          <w:p w14:paraId="5453C524">
            <w:pPr>
              <w:tabs>
                <w:tab w:val="center" w:pos="4153"/>
                <w:tab w:val="right" w:pos="8306"/>
              </w:tabs>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cs="Times New Roman"/>
                <w:snapToGrid w:val="0"/>
                <w:color w:val="auto"/>
                <w:szCs w:val="21"/>
                <w:highlight w:val="none"/>
                <w:lang w:val="en-US" w:eastAsia="zh-CN"/>
              </w:rPr>
              <w:t>0.2</w:t>
            </w:r>
          </w:p>
        </w:tc>
        <w:tc>
          <w:tcPr>
            <w:tcW w:w="1559" w:type="dxa"/>
            <w:shd w:val="clear" w:color="auto" w:fill="auto"/>
            <w:noWrap w:val="0"/>
            <w:vAlign w:val="center"/>
          </w:tcPr>
          <w:p w14:paraId="37D70908">
            <w:pPr>
              <w:pStyle w:val="112"/>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snapToGrid w:val="0"/>
                <w:color w:val="auto"/>
                <w:sz w:val="21"/>
                <w:szCs w:val="21"/>
                <w:highlight w:val="none"/>
                <w:lang w:val="en-US" w:eastAsia="zh-CN"/>
              </w:rPr>
              <w:t>0.2</w:t>
            </w:r>
          </w:p>
        </w:tc>
        <w:tc>
          <w:tcPr>
            <w:tcW w:w="1985" w:type="dxa"/>
            <w:noWrap w:val="0"/>
            <w:vAlign w:val="center"/>
          </w:tcPr>
          <w:p w14:paraId="30A48E42">
            <w:pPr>
              <w:tabs>
                <w:tab w:val="center" w:pos="4153"/>
                <w:tab w:val="right" w:pos="8306"/>
              </w:tabs>
              <w:jc w:val="center"/>
              <w:rPr>
                <w:rFonts w:hint="default" w:ascii="Times New Roman" w:hAnsi="Times New Roman" w:cs="Times New Roman"/>
                <w:snapToGrid w:val="0"/>
                <w:color w:val="auto"/>
                <w:sz w:val="21"/>
                <w:szCs w:val="21"/>
                <w:highlight w:val="none"/>
                <w:lang w:val="en-US"/>
              </w:rPr>
            </w:pPr>
            <w:r>
              <w:rPr>
                <w:rFonts w:hint="eastAsia" w:cs="Times New Roman"/>
                <w:snapToGrid w:val="0"/>
                <w:color w:val="auto"/>
                <w:szCs w:val="21"/>
                <w:highlight w:val="none"/>
                <w:lang w:val="en-US" w:eastAsia="zh-CN"/>
              </w:rPr>
              <w:t>0.2</w:t>
            </w:r>
          </w:p>
        </w:tc>
        <w:tc>
          <w:tcPr>
            <w:tcW w:w="1569" w:type="dxa"/>
            <w:noWrap w:val="0"/>
            <w:vAlign w:val="center"/>
          </w:tcPr>
          <w:p w14:paraId="52118DAF">
            <w:pPr>
              <w:tabs>
                <w:tab w:val="center" w:pos="4153"/>
                <w:tab w:val="right" w:pos="8306"/>
              </w:tabs>
              <w:jc w:val="center"/>
              <w:rPr>
                <w:rFonts w:hint="default" w:ascii="Times New Roman" w:hAnsi="Times New Roman" w:eastAsia="宋体" w:cs="Times New Roman"/>
                <w:color w:val="auto"/>
                <w:sz w:val="21"/>
                <w:szCs w:val="21"/>
                <w:highlight w:val="none"/>
                <w:lang w:val="en-US" w:eastAsia="zh-CN"/>
              </w:rPr>
            </w:pPr>
            <w:r>
              <w:rPr>
                <w:rFonts w:hint="eastAsia" w:cs="Times New Roman"/>
                <w:snapToGrid w:val="0"/>
                <w:color w:val="auto"/>
                <w:szCs w:val="21"/>
                <w:highlight w:val="none"/>
                <w:lang w:val="en-US" w:eastAsia="zh-CN"/>
              </w:rPr>
              <w:t>/</w:t>
            </w:r>
          </w:p>
        </w:tc>
      </w:tr>
      <w:tr w14:paraId="5E0AA2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2" w:type="dxa"/>
            <w:vMerge w:val="continue"/>
            <w:noWrap w:val="0"/>
            <w:vAlign w:val="center"/>
          </w:tcPr>
          <w:p w14:paraId="73AC4534">
            <w:pPr>
              <w:pStyle w:val="112"/>
              <w:jc w:val="center"/>
              <w:rPr>
                <w:rFonts w:hint="default" w:ascii="Times New Roman" w:hAnsi="Times New Roman" w:cs="Times New Roman"/>
                <w:color w:val="auto"/>
                <w:sz w:val="21"/>
                <w:szCs w:val="21"/>
                <w:highlight w:val="none"/>
              </w:rPr>
            </w:pPr>
          </w:p>
        </w:tc>
        <w:tc>
          <w:tcPr>
            <w:tcW w:w="1560" w:type="dxa"/>
            <w:shd w:val="clear" w:color="auto" w:fill="auto"/>
            <w:noWrap w:val="0"/>
            <w:vAlign w:val="center"/>
          </w:tcPr>
          <w:p w14:paraId="6A19D487">
            <w:pPr>
              <w:tabs>
                <w:tab w:val="center" w:pos="4153"/>
                <w:tab w:val="right" w:pos="8306"/>
              </w:tabs>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default" w:ascii="Times New Roman" w:hAnsi="Times New Roman" w:cs="Times New Roman"/>
                <w:snapToGrid w:val="0"/>
                <w:color w:val="auto"/>
                <w:szCs w:val="21"/>
                <w:highlight w:val="none"/>
                <w:lang w:val="en-US" w:eastAsia="zh-CN"/>
              </w:rPr>
              <w:t>废</w:t>
            </w:r>
            <w:r>
              <w:rPr>
                <w:rFonts w:hint="eastAsia" w:cs="Times New Roman"/>
                <w:snapToGrid w:val="0"/>
                <w:color w:val="auto"/>
                <w:szCs w:val="21"/>
                <w:highlight w:val="none"/>
                <w:lang w:val="en-US" w:eastAsia="zh-CN"/>
              </w:rPr>
              <w:t>反渗透膜</w:t>
            </w:r>
          </w:p>
        </w:tc>
        <w:tc>
          <w:tcPr>
            <w:tcW w:w="1701" w:type="dxa"/>
            <w:noWrap w:val="0"/>
            <w:vAlign w:val="center"/>
          </w:tcPr>
          <w:p w14:paraId="5A3BE0EB">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0.5</w:t>
            </w:r>
          </w:p>
        </w:tc>
        <w:tc>
          <w:tcPr>
            <w:tcW w:w="1275" w:type="dxa"/>
            <w:noWrap w:val="0"/>
            <w:vAlign w:val="center"/>
          </w:tcPr>
          <w:p w14:paraId="68E7DA1A">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560" w:type="dxa"/>
            <w:noWrap w:val="0"/>
            <w:vAlign w:val="center"/>
          </w:tcPr>
          <w:p w14:paraId="103145DB">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417" w:type="dxa"/>
            <w:shd w:val="clear" w:color="auto" w:fill="auto"/>
            <w:noWrap w:val="0"/>
            <w:vAlign w:val="center"/>
          </w:tcPr>
          <w:p w14:paraId="6EEE37AB">
            <w:pPr>
              <w:tabs>
                <w:tab w:val="center" w:pos="4153"/>
                <w:tab w:val="right" w:pos="8306"/>
              </w:tabs>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cs="Times New Roman"/>
                <w:snapToGrid w:val="0"/>
                <w:color w:val="auto"/>
                <w:szCs w:val="21"/>
                <w:highlight w:val="none"/>
                <w:lang w:val="en-US" w:eastAsia="zh-CN"/>
              </w:rPr>
              <w:t>0.5</w:t>
            </w:r>
          </w:p>
        </w:tc>
        <w:tc>
          <w:tcPr>
            <w:tcW w:w="1559" w:type="dxa"/>
            <w:shd w:val="clear" w:color="auto" w:fill="auto"/>
            <w:noWrap w:val="0"/>
            <w:vAlign w:val="center"/>
          </w:tcPr>
          <w:p w14:paraId="5AAE51FE">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0.5</w:t>
            </w:r>
          </w:p>
        </w:tc>
        <w:tc>
          <w:tcPr>
            <w:tcW w:w="1985" w:type="dxa"/>
            <w:noWrap w:val="0"/>
            <w:vAlign w:val="center"/>
          </w:tcPr>
          <w:p w14:paraId="5B277771">
            <w:pPr>
              <w:tabs>
                <w:tab w:val="center" w:pos="4153"/>
                <w:tab w:val="right" w:pos="8306"/>
              </w:tabs>
              <w:jc w:val="center"/>
              <w:rPr>
                <w:rFonts w:hint="default" w:ascii="Times New Roman" w:hAnsi="Times New Roman" w:cs="Times New Roman"/>
                <w:color w:val="auto"/>
                <w:sz w:val="21"/>
                <w:szCs w:val="21"/>
                <w:highlight w:val="none"/>
                <w:lang w:val="en-US" w:eastAsia="zh-CN"/>
              </w:rPr>
            </w:pPr>
            <w:r>
              <w:rPr>
                <w:rFonts w:hint="eastAsia" w:cs="Times New Roman"/>
                <w:snapToGrid w:val="0"/>
                <w:color w:val="auto"/>
                <w:szCs w:val="21"/>
                <w:highlight w:val="none"/>
                <w:lang w:val="en-US" w:eastAsia="zh-CN"/>
              </w:rPr>
              <w:t>0.5</w:t>
            </w:r>
          </w:p>
        </w:tc>
        <w:tc>
          <w:tcPr>
            <w:tcW w:w="1569" w:type="dxa"/>
            <w:noWrap w:val="0"/>
            <w:vAlign w:val="center"/>
          </w:tcPr>
          <w:p w14:paraId="34EF24B6">
            <w:pPr>
              <w:tabs>
                <w:tab w:val="center" w:pos="4153"/>
                <w:tab w:val="right" w:pos="8306"/>
              </w:tabs>
              <w:jc w:val="center"/>
              <w:rPr>
                <w:rFonts w:hint="default" w:ascii="Times New Roman" w:hAnsi="Times New Roman" w:cs="Times New Roman"/>
                <w:color w:val="auto"/>
                <w:sz w:val="21"/>
                <w:szCs w:val="21"/>
                <w:highlight w:val="none"/>
                <w:lang w:val="en-US" w:eastAsia="zh-CN"/>
              </w:rPr>
            </w:pPr>
            <w:r>
              <w:rPr>
                <w:rFonts w:hint="eastAsia" w:cs="Times New Roman"/>
                <w:snapToGrid w:val="0"/>
                <w:color w:val="auto"/>
                <w:szCs w:val="21"/>
                <w:highlight w:val="none"/>
                <w:lang w:val="en-US" w:eastAsia="zh-CN"/>
              </w:rPr>
              <w:t>/</w:t>
            </w:r>
          </w:p>
        </w:tc>
      </w:tr>
      <w:tr w14:paraId="288AD0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2" w:type="dxa"/>
            <w:vMerge w:val="continue"/>
            <w:noWrap w:val="0"/>
            <w:vAlign w:val="center"/>
          </w:tcPr>
          <w:p w14:paraId="10021068">
            <w:pPr>
              <w:pStyle w:val="112"/>
              <w:jc w:val="center"/>
              <w:rPr>
                <w:rFonts w:hint="default" w:ascii="Times New Roman" w:hAnsi="Times New Roman" w:cs="Times New Roman"/>
                <w:color w:val="auto"/>
                <w:sz w:val="21"/>
                <w:szCs w:val="21"/>
                <w:highlight w:val="none"/>
              </w:rPr>
            </w:pPr>
          </w:p>
        </w:tc>
        <w:tc>
          <w:tcPr>
            <w:tcW w:w="1560" w:type="dxa"/>
            <w:shd w:val="clear" w:color="auto" w:fill="auto"/>
            <w:noWrap w:val="0"/>
            <w:vAlign w:val="center"/>
          </w:tcPr>
          <w:p w14:paraId="39BBBD33">
            <w:pPr>
              <w:tabs>
                <w:tab w:val="center" w:pos="4153"/>
                <w:tab w:val="right" w:pos="8306"/>
              </w:tabs>
              <w:jc w:val="center"/>
              <w:rPr>
                <w:rFonts w:hint="default" w:ascii="Times New Roman" w:hAnsi="Times New Roman" w:cs="Times New Roman"/>
                <w:snapToGrid w:val="0"/>
                <w:color w:val="auto"/>
                <w:szCs w:val="21"/>
                <w:highlight w:val="none"/>
                <w:lang w:val="en-US" w:eastAsia="zh-CN"/>
              </w:rPr>
            </w:pPr>
            <w:r>
              <w:rPr>
                <w:rFonts w:hint="eastAsia" w:cs="Times New Roman"/>
                <w:snapToGrid w:val="0"/>
                <w:color w:val="auto"/>
                <w:szCs w:val="21"/>
                <w:highlight w:val="none"/>
                <w:lang w:val="en-US" w:eastAsia="zh-CN"/>
              </w:rPr>
              <w:t>除尘器除尘灰</w:t>
            </w:r>
          </w:p>
        </w:tc>
        <w:tc>
          <w:tcPr>
            <w:tcW w:w="1701" w:type="dxa"/>
            <w:noWrap w:val="0"/>
            <w:vAlign w:val="center"/>
          </w:tcPr>
          <w:p w14:paraId="3A66E1B3">
            <w:pPr>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8.51</w:t>
            </w:r>
          </w:p>
        </w:tc>
        <w:tc>
          <w:tcPr>
            <w:tcW w:w="1275" w:type="dxa"/>
            <w:noWrap w:val="0"/>
            <w:vAlign w:val="center"/>
          </w:tcPr>
          <w:p w14:paraId="152BEA6B">
            <w:pPr>
              <w:jc w:val="center"/>
              <w:rPr>
                <w:rFonts w:hint="default" w:ascii="Times New Roman" w:hAnsi="Times New Roman" w:cs="Times New Roman"/>
                <w:color w:val="auto"/>
                <w:sz w:val="21"/>
                <w:szCs w:val="21"/>
                <w:highlight w:val="none"/>
                <w:lang w:val="en-US" w:eastAsia="zh-CN"/>
              </w:rPr>
            </w:pPr>
          </w:p>
        </w:tc>
        <w:tc>
          <w:tcPr>
            <w:tcW w:w="1560" w:type="dxa"/>
            <w:noWrap w:val="0"/>
            <w:vAlign w:val="center"/>
          </w:tcPr>
          <w:p w14:paraId="2CBE9ACA">
            <w:pPr>
              <w:jc w:val="center"/>
              <w:rPr>
                <w:rFonts w:hint="default" w:ascii="Times New Roman" w:hAnsi="Times New Roman" w:cs="Times New Roman"/>
                <w:color w:val="auto"/>
                <w:sz w:val="21"/>
                <w:szCs w:val="21"/>
                <w:highlight w:val="none"/>
                <w:lang w:val="en-US" w:eastAsia="zh-CN"/>
              </w:rPr>
            </w:pPr>
          </w:p>
        </w:tc>
        <w:tc>
          <w:tcPr>
            <w:tcW w:w="1417" w:type="dxa"/>
            <w:shd w:val="clear" w:color="auto" w:fill="auto"/>
            <w:noWrap w:val="0"/>
            <w:vAlign w:val="center"/>
          </w:tcPr>
          <w:p w14:paraId="35D9125A">
            <w:pPr>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117.80</w:t>
            </w:r>
          </w:p>
        </w:tc>
        <w:tc>
          <w:tcPr>
            <w:tcW w:w="1559" w:type="dxa"/>
            <w:shd w:val="clear" w:color="auto" w:fill="auto"/>
            <w:noWrap w:val="0"/>
            <w:vAlign w:val="center"/>
          </w:tcPr>
          <w:p w14:paraId="14B03F68">
            <w:pPr>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8.51</w:t>
            </w:r>
          </w:p>
        </w:tc>
        <w:tc>
          <w:tcPr>
            <w:tcW w:w="1985" w:type="dxa"/>
            <w:noWrap w:val="0"/>
            <w:vAlign w:val="center"/>
          </w:tcPr>
          <w:p w14:paraId="6C5EED93">
            <w:pPr>
              <w:jc w:val="center"/>
              <w:rPr>
                <w:rFonts w:hint="default" w:ascii="Times New Roman" w:hAnsi="Times New Roman" w:cs="Times New Roman"/>
                <w:snapToGrid w:val="0"/>
                <w:color w:val="auto"/>
                <w:szCs w:val="21"/>
                <w:highlight w:val="none"/>
                <w:lang w:val="en-US" w:eastAsia="zh-CN"/>
              </w:rPr>
            </w:pPr>
            <w:r>
              <w:rPr>
                <w:rFonts w:hint="eastAsia" w:cs="Times New Roman"/>
                <w:color w:val="auto"/>
                <w:sz w:val="21"/>
                <w:szCs w:val="21"/>
                <w:highlight w:val="none"/>
                <w:lang w:val="en-US" w:eastAsia="zh-CN"/>
              </w:rPr>
              <w:t>117.80</w:t>
            </w:r>
          </w:p>
        </w:tc>
        <w:tc>
          <w:tcPr>
            <w:tcW w:w="1569" w:type="dxa"/>
            <w:noWrap w:val="0"/>
            <w:vAlign w:val="center"/>
          </w:tcPr>
          <w:p w14:paraId="4CF9B286">
            <w:pPr>
              <w:tabs>
                <w:tab w:val="center" w:pos="4153"/>
                <w:tab w:val="right" w:pos="8306"/>
              </w:tabs>
              <w:jc w:val="center"/>
              <w:rPr>
                <w:rFonts w:hint="default" w:ascii="Times New Roman" w:hAnsi="Times New Roman" w:cs="Times New Roman"/>
                <w:snapToGrid w:val="0"/>
                <w:color w:val="auto"/>
                <w:szCs w:val="21"/>
                <w:highlight w:val="none"/>
                <w:lang w:val="en-US" w:eastAsia="zh-CN"/>
              </w:rPr>
            </w:pPr>
            <w:r>
              <w:rPr>
                <w:rFonts w:hint="eastAsia" w:cs="Times New Roman"/>
                <w:snapToGrid w:val="0"/>
                <w:color w:val="auto"/>
                <w:szCs w:val="21"/>
                <w:highlight w:val="none"/>
                <w:lang w:val="en-US" w:eastAsia="zh-CN"/>
              </w:rPr>
              <w:t>+109.29</w:t>
            </w:r>
          </w:p>
        </w:tc>
      </w:tr>
      <w:tr w14:paraId="56FB55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2" w:type="dxa"/>
            <w:vMerge w:val="continue"/>
            <w:noWrap w:val="0"/>
            <w:vAlign w:val="center"/>
          </w:tcPr>
          <w:p w14:paraId="5C9F4025">
            <w:pPr>
              <w:pStyle w:val="112"/>
              <w:jc w:val="center"/>
              <w:rPr>
                <w:rFonts w:hint="default" w:ascii="Times New Roman" w:hAnsi="Times New Roman" w:cs="Times New Roman"/>
                <w:color w:val="auto"/>
                <w:sz w:val="21"/>
                <w:szCs w:val="21"/>
                <w:highlight w:val="none"/>
              </w:rPr>
            </w:pPr>
          </w:p>
        </w:tc>
        <w:tc>
          <w:tcPr>
            <w:tcW w:w="1560" w:type="dxa"/>
            <w:shd w:val="clear" w:color="auto" w:fill="auto"/>
            <w:noWrap w:val="0"/>
            <w:vAlign w:val="center"/>
          </w:tcPr>
          <w:p w14:paraId="380FC734">
            <w:pPr>
              <w:tabs>
                <w:tab w:val="center" w:pos="4153"/>
                <w:tab w:val="right" w:pos="8306"/>
              </w:tabs>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cs="Times New Roman"/>
                <w:snapToGrid w:val="0"/>
                <w:color w:val="auto"/>
                <w:kern w:val="2"/>
                <w:sz w:val="21"/>
                <w:szCs w:val="21"/>
                <w:highlight w:val="none"/>
                <w:lang w:val="en-US" w:eastAsia="zh-CN" w:bidi="ar-SA"/>
              </w:rPr>
              <w:t>锅炉炉渣</w:t>
            </w:r>
          </w:p>
        </w:tc>
        <w:tc>
          <w:tcPr>
            <w:tcW w:w="1701" w:type="dxa"/>
            <w:noWrap w:val="0"/>
            <w:vAlign w:val="center"/>
          </w:tcPr>
          <w:p w14:paraId="1A20A10F">
            <w:pPr>
              <w:pStyle w:val="112"/>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81.74</w:t>
            </w:r>
          </w:p>
        </w:tc>
        <w:tc>
          <w:tcPr>
            <w:tcW w:w="1275" w:type="dxa"/>
            <w:noWrap w:val="0"/>
            <w:vAlign w:val="center"/>
          </w:tcPr>
          <w:p w14:paraId="2AD230AE">
            <w:pPr>
              <w:pStyle w:val="112"/>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560" w:type="dxa"/>
            <w:noWrap w:val="0"/>
            <w:vAlign w:val="center"/>
          </w:tcPr>
          <w:p w14:paraId="42A7E2CA">
            <w:pPr>
              <w:pStyle w:val="112"/>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417" w:type="dxa"/>
            <w:shd w:val="clear" w:color="auto" w:fill="auto"/>
            <w:noWrap w:val="0"/>
            <w:vAlign w:val="center"/>
          </w:tcPr>
          <w:p w14:paraId="1341E18E">
            <w:pPr>
              <w:pStyle w:val="112"/>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249.80</w:t>
            </w:r>
          </w:p>
        </w:tc>
        <w:tc>
          <w:tcPr>
            <w:tcW w:w="1559" w:type="dxa"/>
            <w:shd w:val="clear" w:color="auto" w:fill="auto"/>
            <w:noWrap w:val="0"/>
            <w:vAlign w:val="center"/>
          </w:tcPr>
          <w:p w14:paraId="084AD5CD">
            <w:pPr>
              <w:pStyle w:val="112"/>
              <w:jc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sz w:val="21"/>
                <w:szCs w:val="21"/>
                <w:highlight w:val="none"/>
                <w:lang w:val="en-US" w:eastAsia="zh-CN"/>
              </w:rPr>
              <w:t>81.74</w:t>
            </w:r>
          </w:p>
        </w:tc>
        <w:tc>
          <w:tcPr>
            <w:tcW w:w="1985" w:type="dxa"/>
            <w:shd w:val="clear" w:color="auto" w:fill="auto"/>
            <w:noWrap w:val="0"/>
            <w:vAlign w:val="center"/>
          </w:tcPr>
          <w:p w14:paraId="6ACC7BE8">
            <w:pPr>
              <w:pStyle w:val="112"/>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cs="Times New Roman"/>
                <w:color w:val="auto"/>
                <w:sz w:val="21"/>
                <w:szCs w:val="21"/>
                <w:highlight w:val="none"/>
                <w:lang w:val="en-US" w:eastAsia="zh-CN"/>
              </w:rPr>
              <w:t>249.80</w:t>
            </w:r>
          </w:p>
        </w:tc>
        <w:tc>
          <w:tcPr>
            <w:tcW w:w="1569" w:type="dxa"/>
            <w:shd w:val="clear" w:color="auto" w:fill="auto"/>
            <w:noWrap w:val="0"/>
            <w:vAlign w:val="center"/>
          </w:tcPr>
          <w:p w14:paraId="28D52DF4">
            <w:pPr>
              <w:tabs>
                <w:tab w:val="center" w:pos="4153"/>
                <w:tab w:val="right" w:pos="8306"/>
              </w:tabs>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cs="Times New Roman"/>
                <w:snapToGrid w:val="0"/>
                <w:color w:val="auto"/>
                <w:kern w:val="2"/>
                <w:sz w:val="21"/>
                <w:szCs w:val="21"/>
                <w:highlight w:val="none"/>
                <w:lang w:val="en-US" w:eastAsia="zh-CN" w:bidi="ar-SA"/>
              </w:rPr>
              <w:t>+168.06</w:t>
            </w:r>
          </w:p>
        </w:tc>
      </w:tr>
    </w:tbl>
    <w:p w14:paraId="31B71CCB">
      <w:pPr>
        <w:pStyle w:val="94"/>
        <w:spacing w:before="192" w:beforeLines="80" w:after="24"/>
        <w:jc w:val="left"/>
        <w:rPr>
          <w:rFonts w:hint="default" w:ascii="Times New Roman" w:hAnsi="Times New Roman" w:eastAsia="宋体" w:cs="Times New Roman"/>
          <w:color w:val="auto"/>
          <w:highlight w:val="none"/>
          <w:lang w:val="en-US" w:eastAsia="zh-CN"/>
        </w:rPr>
      </w:pPr>
      <w:r>
        <w:rPr>
          <w:rFonts w:hint="default" w:ascii="Times New Roman" w:hAnsi="Times New Roman" w:cs="Times New Roman"/>
          <w:snapToGrid w:val="0"/>
          <w:color w:val="auto"/>
          <w:kern w:val="21"/>
          <w:szCs w:val="21"/>
          <w:highlight w:val="none"/>
        </w:rPr>
        <w:t>注：</w:t>
      </w:r>
      <w:r>
        <w:rPr>
          <w:rFonts w:hint="default" w:ascii="Times New Roman" w:hAnsi="Times New Roman" w:cs="Times New Roman"/>
          <w:snapToGrid w:val="0"/>
          <w:color w:val="auto"/>
          <w:spacing w:val="-16"/>
          <w:kern w:val="21"/>
          <w:szCs w:val="21"/>
          <w:highlight w:val="none"/>
        </w:rPr>
        <w:fldChar w:fldCharType="begin"/>
      </w:r>
      <w:r>
        <w:rPr>
          <w:rFonts w:hint="default" w:ascii="Times New Roman" w:hAnsi="Times New Roman" w:cs="Times New Roman"/>
          <w:snapToGrid w:val="0"/>
          <w:color w:val="auto"/>
          <w:spacing w:val="-16"/>
          <w:kern w:val="21"/>
          <w:szCs w:val="21"/>
          <w:highlight w:val="none"/>
        </w:rPr>
        <w:instrText xml:space="preserve"> = 6 \* GB3 \* MERGEFORMAT </w:instrText>
      </w:r>
      <w:r>
        <w:rPr>
          <w:rFonts w:hint="default" w:ascii="Times New Roman" w:hAnsi="Times New Roman" w:cs="Times New Roman"/>
          <w:snapToGrid w:val="0"/>
          <w:color w:val="auto"/>
          <w:spacing w:val="-16"/>
          <w:kern w:val="21"/>
          <w:szCs w:val="21"/>
          <w:highlight w:val="none"/>
        </w:rPr>
        <w:fldChar w:fldCharType="separate"/>
      </w:r>
      <w:r>
        <w:rPr>
          <w:rFonts w:hint="default" w:ascii="Times New Roman" w:hAnsi="Times New Roman" w:cs="Times New Roman"/>
          <w:color w:val="auto"/>
          <w:szCs w:val="21"/>
          <w:highlight w:val="none"/>
        </w:rPr>
        <w:t>⑥</w:t>
      </w:r>
      <w:r>
        <w:rPr>
          <w:rFonts w:hint="default" w:ascii="Times New Roman" w:hAnsi="Times New Roman" w:cs="Times New Roman"/>
          <w:snapToGrid w:val="0"/>
          <w:color w:val="auto"/>
          <w:spacing w:val="-16"/>
          <w:kern w:val="21"/>
          <w:szCs w:val="21"/>
          <w:highlight w:val="none"/>
        </w:rPr>
        <w:fldChar w:fldCharType="end"/>
      </w:r>
      <w:r>
        <w:rPr>
          <w:rFonts w:hint="default" w:ascii="Times New Roman" w:hAnsi="Times New Roman" w:cs="Times New Roman"/>
          <w:snapToGrid w:val="0"/>
          <w:color w:val="auto"/>
          <w:spacing w:val="-1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1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①</w:t>
      </w:r>
      <w:r>
        <w:rPr>
          <w:rFonts w:hint="default" w:ascii="Times New Roman" w:hAnsi="Times New Roman" w:cs="Times New Roman"/>
          <w:snapToGrid w:val="0"/>
          <w:color w:val="auto"/>
          <w:spacing w:val="-6"/>
          <w:kern w:val="21"/>
          <w:szCs w:val="21"/>
          <w:highlight w:val="none"/>
        </w:rPr>
        <w:fldChar w:fldCharType="end"/>
      </w:r>
      <w:r>
        <w:rPr>
          <w:rFonts w:hint="default" w:ascii="Times New Roman" w:hAnsi="Times New Roman" w:cs="Times New Roman"/>
          <w:snapToGrid w:val="0"/>
          <w:color w:val="auto"/>
          <w:spacing w:val="-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3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③</w:t>
      </w:r>
      <w:r>
        <w:rPr>
          <w:rFonts w:hint="default" w:ascii="Times New Roman" w:hAnsi="Times New Roman" w:cs="Times New Roman"/>
          <w:snapToGrid w:val="0"/>
          <w:color w:val="auto"/>
          <w:spacing w:val="-6"/>
          <w:kern w:val="21"/>
          <w:szCs w:val="21"/>
          <w:highlight w:val="none"/>
        </w:rPr>
        <w:fldChar w:fldCharType="end"/>
      </w:r>
      <w:r>
        <w:rPr>
          <w:rFonts w:hint="default" w:ascii="Times New Roman" w:hAnsi="Times New Roman" w:cs="Times New Roman"/>
          <w:snapToGrid w:val="0"/>
          <w:color w:val="auto"/>
          <w:spacing w:val="-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4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④</w:t>
      </w:r>
      <w:r>
        <w:rPr>
          <w:rFonts w:hint="default" w:ascii="Times New Roman" w:hAnsi="Times New Roman" w:cs="Times New Roman"/>
          <w:snapToGrid w:val="0"/>
          <w:color w:val="auto"/>
          <w:spacing w:val="-6"/>
          <w:kern w:val="21"/>
          <w:szCs w:val="21"/>
          <w:highlight w:val="none"/>
        </w:rPr>
        <w:fldChar w:fldCharType="end"/>
      </w:r>
      <w:r>
        <w:rPr>
          <w:rFonts w:hint="default" w:ascii="Times New Roman" w:hAnsi="Times New Roman" w:cs="Times New Roman"/>
          <w:snapToGrid w:val="0"/>
          <w:color w:val="auto"/>
          <w:spacing w:val="-6"/>
          <w:kern w:val="21"/>
          <w:szCs w:val="21"/>
          <w:highlight w:val="none"/>
        </w:rPr>
        <w:t>-</w:t>
      </w:r>
      <w:r>
        <w:rPr>
          <w:rFonts w:hint="default" w:ascii="Times New Roman" w:hAnsi="Times New Roman" w:cs="Times New Roman"/>
          <w:snapToGrid w:val="0"/>
          <w:color w:val="auto"/>
          <w:spacing w:val="-16"/>
          <w:kern w:val="21"/>
          <w:szCs w:val="21"/>
          <w:highlight w:val="none"/>
        </w:rPr>
        <w:fldChar w:fldCharType="begin"/>
      </w:r>
      <w:r>
        <w:rPr>
          <w:rFonts w:hint="default" w:ascii="Times New Roman" w:hAnsi="Times New Roman" w:cs="Times New Roman"/>
          <w:snapToGrid w:val="0"/>
          <w:color w:val="auto"/>
          <w:spacing w:val="-16"/>
          <w:kern w:val="21"/>
          <w:szCs w:val="21"/>
          <w:highlight w:val="none"/>
        </w:rPr>
        <w:instrText xml:space="preserve"> = 5 \* GB3 \* MERGEFORMAT </w:instrText>
      </w:r>
      <w:r>
        <w:rPr>
          <w:rFonts w:hint="default" w:ascii="Times New Roman" w:hAnsi="Times New Roman" w:cs="Times New Roman"/>
          <w:snapToGrid w:val="0"/>
          <w:color w:val="auto"/>
          <w:spacing w:val="-16"/>
          <w:kern w:val="21"/>
          <w:szCs w:val="21"/>
          <w:highlight w:val="none"/>
        </w:rPr>
        <w:fldChar w:fldCharType="separate"/>
      </w:r>
      <w:r>
        <w:rPr>
          <w:rFonts w:hint="default" w:ascii="Times New Roman" w:hAnsi="Times New Roman" w:cs="Times New Roman"/>
          <w:color w:val="auto"/>
          <w:szCs w:val="21"/>
          <w:highlight w:val="none"/>
        </w:rPr>
        <w:t>⑤</w:t>
      </w:r>
      <w:r>
        <w:rPr>
          <w:rFonts w:hint="default" w:ascii="Times New Roman" w:hAnsi="Times New Roman" w:cs="Times New Roman"/>
          <w:snapToGrid w:val="0"/>
          <w:color w:val="auto"/>
          <w:spacing w:val="-16"/>
          <w:kern w:val="21"/>
          <w:szCs w:val="21"/>
          <w:highlight w:val="none"/>
        </w:rPr>
        <w:fldChar w:fldCharType="end"/>
      </w:r>
      <w:r>
        <w:rPr>
          <w:rFonts w:hint="default" w:ascii="Times New Roman" w:hAnsi="Times New Roman" w:cs="Times New Roman"/>
          <w:snapToGrid w:val="0"/>
          <w:color w:val="auto"/>
          <w:spacing w:val="-1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7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⑦</w:t>
      </w:r>
      <w:r>
        <w:rPr>
          <w:rFonts w:hint="default" w:ascii="Times New Roman" w:hAnsi="Times New Roman" w:cs="Times New Roman"/>
          <w:snapToGrid w:val="0"/>
          <w:color w:val="auto"/>
          <w:spacing w:val="-6"/>
          <w:kern w:val="21"/>
          <w:szCs w:val="21"/>
          <w:highlight w:val="none"/>
        </w:rPr>
        <w:fldChar w:fldCharType="end"/>
      </w:r>
      <w:r>
        <w:rPr>
          <w:rFonts w:hint="default" w:ascii="Times New Roman" w:hAnsi="Times New Roman" w:cs="Times New Roman"/>
          <w:snapToGrid w:val="0"/>
          <w:color w:val="auto"/>
          <w:spacing w:val="-6"/>
          <w:kern w:val="21"/>
          <w:szCs w:val="21"/>
          <w:highlight w:val="none"/>
        </w:rPr>
        <w:t>=</w:t>
      </w:r>
      <w:r>
        <w:rPr>
          <w:rFonts w:hint="default" w:ascii="Times New Roman" w:hAnsi="Times New Roman" w:cs="Times New Roman"/>
          <w:snapToGrid w:val="0"/>
          <w:color w:val="auto"/>
          <w:spacing w:val="-16"/>
          <w:kern w:val="21"/>
          <w:szCs w:val="21"/>
          <w:highlight w:val="none"/>
        </w:rPr>
        <w:fldChar w:fldCharType="begin"/>
      </w:r>
      <w:r>
        <w:rPr>
          <w:rFonts w:hint="default" w:ascii="Times New Roman" w:hAnsi="Times New Roman" w:cs="Times New Roman"/>
          <w:snapToGrid w:val="0"/>
          <w:color w:val="auto"/>
          <w:spacing w:val="-16"/>
          <w:kern w:val="21"/>
          <w:szCs w:val="21"/>
          <w:highlight w:val="none"/>
        </w:rPr>
        <w:instrText xml:space="preserve"> = 6 \* GB3 \* MERGEFORMAT </w:instrText>
      </w:r>
      <w:r>
        <w:rPr>
          <w:rFonts w:hint="default" w:ascii="Times New Roman" w:hAnsi="Times New Roman" w:cs="Times New Roman"/>
          <w:snapToGrid w:val="0"/>
          <w:color w:val="auto"/>
          <w:spacing w:val="-16"/>
          <w:kern w:val="21"/>
          <w:szCs w:val="21"/>
          <w:highlight w:val="none"/>
        </w:rPr>
        <w:fldChar w:fldCharType="separate"/>
      </w:r>
      <w:r>
        <w:rPr>
          <w:rFonts w:hint="default" w:ascii="Times New Roman" w:hAnsi="Times New Roman" w:cs="Times New Roman"/>
          <w:color w:val="auto"/>
          <w:szCs w:val="21"/>
          <w:highlight w:val="none"/>
        </w:rPr>
        <w:t>⑥</w:t>
      </w:r>
      <w:r>
        <w:rPr>
          <w:rFonts w:hint="default" w:ascii="Times New Roman" w:hAnsi="Times New Roman" w:cs="Times New Roman"/>
          <w:snapToGrid w:val="0"/>
          <w:color w:val="auto"/>
          <w:spacing w:val="-16"/>
          <w:kern w:val="21"/>
          <w:szCs w:val="21"/>
          <w:highlight w:val="none"/>
        </w:rPr>
        <w:fldChar w:fldCharType="end"/>
      </w:r>
      <w:r>
        <w:rPr>
          <w:rFonts w:hint="default" w:ascii="Times New Roman" w:hAnsi="Times New Roman" w:cs="Times New Roman"/>
          <w:snapToGrid w:val="0"/>
          <w:color w:val="auto"/>
          <w:spacing w:val="-16"/>
          <w:kern w:val="21"/>
          <w:szCs w:val="21"/>
          <w:highlight w:val="none"/>
        </w:rPr>
        <w:t>-</w:t>
      </w:r>
      <w:r>
        <w:rPr>
          <w:rFonts w:hint="default" w:ascii="Times New Roman" w:hAnsi="Times New Roman" w:cs="Times New Roman"/>
          <w:snapToGrid w:val="0"/>
          <w:color w:val="auto"/>
          <w:spacing w:val="-6"/>
          <w:kern w:val="21"/>
          <w:szCs w:val="21"/>
          <w:highlight w:val="none"/>
        </w:rPr>
        <w:fldChar w:fldCharType="begin"/>
      </w:r>
      <w:r>
        <w:rPr>
          <w:rFonts w:hint="default" w:ascii="Times New Roman" w:hAnsi="Times New Roman" w:cs="Times New Roman"/>
          <w:snapToGrid w:val="0"/>
          <w:color w:val="auto"/>
          <w:spacing w:val="-6"/>
          <w:kern w:val="21"/>
          <w:szCs w:val="21"/>
          <w:highlight w:val="none"/>
        </w:rPr>
        <w:instrText xml:space="preserve"> = 1 \* GB3 \* MERGEFORMAT </w:instrText>
      </w:r>
      <w:r>
        <w:rPr>
          <w:rFonts w:hint="default" w:ascii="Times New Roman" w:hAnsi="Times New Roman" w:cs="Times New Roman"/>
          <w:snapToGrid w:val="0"/>
          <w:color w:val="auto"/>
          <w:spacing w:val="-6"/>
          <w:kern w:val="21"/>
          <w:szCs w:val="21"/>
          <w:highlight w:val="none"/>
        </w:rPr>
        <w:fldChar w:fldCharType="separate"/>
      </w:r>
      <w:r>
        <w:rPr>
          <w:rFonts w:hint="default" w:ascii="Times New Roman" w:hAnsi="Times New Roman" w:cs="Times New Roman"/>
          <w:color w:val="auto"/>
          <w:szCs w:val="21"/>
          <w:highlight w:val="none"/>
        </w:rPr>
        <w:t>①</w:t>
      </w:r>
      <w:r>
        <w:rPr>
          <w:rFonts w:hint="default" w:ascii="Times New Roman" w:hAnsi="Times New Roman" w:cs="Times New Roman"/>
          <w:snapToGrid w:val="0"/>
          <w:color w:val="auto"/>
          <w:spacing w:val="-6"/>
          <w:kern w:val="21"/>
          <w:szCs w:val="21"/>
          <w:highlight w:val="none"/>
        </w:rPr>
        <w:fldChar w:fldCharType="end"/>
      </w:r>
      <w:r>
        <w:rPr>
          <w:rFonts w:hint="default" w:ascii="Times New Roman" w:hAnsi="Times New Roman" w:cs="Times New Roman"/>
          <w:snapToGrid w:val="0"/>
          <w:color w:val="auto"/>
          <w:spacing w:val="-6"/>
          <w:kern w:val="21"/>
          <w:szCs w:val="21"/>
          <w:highlight w:val="none"/>
        </w:rPr>
        <w:t>；单位：t/a</w:t>
      </w:r>
      <w:r>
        <w:rPr>
          <w:rFonts w:hint="default" w:ascii="Times New Roman" w:hAnsi="Times New Roman" w:cs="Times New Roman"/>
          <w:snapToGrid w:val="0"/>
          <w:color w:val="auto"/>
          <w:spacing w:val="-6"/>
          <w:kern w:val="21"/>
          <w:szCs w:val="21"/>
          <w:highlight w:val="none"/>
          <w:lang w:val="en-US" w:eastAsia="zh-CN"/>
        </w:rPr>
        <w:t xml:space="preserve"> </w:t>
      </w:r>
    </w:p>
    <w:p w14:paraId="12A0072C">
      <w:pPr>
        <w:rPr>
          <w:rFonts w:hint="default" w:ascii="Times New Roman" w:hAnsi="Times New Roman" w:cs="Times New Roman"/>
          <w:color w:val="auto"/>
          <w:highlight w:val="none"/>
        </w:rPr>
        <w:sectPr>
          <w:pgSz w:w="16838" w:h="11906" w:orient="landscape"/>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A9B5D92">
      <w:pPr>
        <w:jc w:val="center"/>
      </w:pPr>
      <w:bookmarkStart w:id="71" w:name="_Toc18399450"/>
      <w:r>
        <w:rPr>
          <w:rFonts w:hint="eastAsia" w:eastAsia="宋体"/>
          <w:lang w:eastAsia="zh-CN"/>
        </w:rPr>
        <w:drawing>
          <wp:anchor distT="0" distB="0" distL="114300" distR="114300" simplePos="0" relativeHeight="251682816" behindDoc="0" locked="0" layoutInCell="1" allowOverlap="1">
            <wp:simplePos x="0" y="0"/>
            <wp:positionH relativeFrom="column">
              <wp:posOffset>4476750</wp:posOffset>
            </wp:positionH>
            <wp:positionV relativeFrom="paragraph">
              <wp:posOffset>38735</wp:posOffset>
            </wp:positionV>
            <wp:extent cx="1075690" cy="1036955"/>
            <wp:effectExtent l="0" t="0" r="10160" b="10795"/>
            <wp:wrapNone/>
            <wp:docPr id="99" name="图片 99"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2"/>
                    <pic:cNvPicPr>
                      <a:picLocks noChangeAspect="1"/>
                    </pic:cNvPicPr>
                  </pic:nvPicPr>
                  <pic:blipFill>
                    <a:blip r:embed="rId58"/>
                    <a:stretch>
                      <a:fillRect/>
                    </a:stretch>
                  </pic:blipFill>
                  <pic:spPr>
                    <a:xfrm>
                      <a:off x="0" y="0"/>
                      <a:ext cx="1075690" cy="1036955"/>
                    </a:xfrm>
                    <a:prstGeom prst="rect">
                      <a:avLst/>
                    </a:prstGeom>
                  </pic:spPr>
                </pic:pic>
              </a:graphicData>
            </a:graphic>
          </wp:anchor>
        </w:drawing>
      </w:r>
      <w:r>
        <w:drawing>
          <wp:inline distT="0" distB="0" distL="114300" distR="114300">
            <wp:extent cx="5522595" cy="7621270"/>
            <wp:effectExtent l="9525" t="9525" r="11430" b="27305"/>
            <wp:docPr id="4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
                    <pic:cNvPicPr>
                      <a:picLocks noChangeAspect="1"/>
                    </pic:cNvPicPr>
                  </pic:nvPicPr>
                  <pic:blipFill>
                    <a:blip r:embed="rId59"/>
                    <a:stretch>
                      <a:fillRect/>
                    </a:stretch>
                  </pic:blipFill>
                  <pic:spPr>
                    <a:xfrm>
                      <a:off x="0" y="0"/>
                      <a:ext cx="5522595" cy="7621270"/>
                    </a:xfrm>
                    <a:prstGeom prst="rect">
                      <a:avLst/>
                    </a:prstGeom>
                    <a:noFill/>
                    <a:ln w="6350">
                      <a:solidFill>
                        <a:schemeClr val="tx1"/>
                      </a:solidFill>
                    </a:ln>
                  </pic:spPr>
                </pic:pic>
              </a:graphicData>
            </a:graphic>
          </wp:inline>
        </w:drawing>
      </w:r>
      <w:r>
        <w:rPr>
          <w:rFonts w:hint="default" w:ascii="Times New Roman" w:hAnsi="Times New Roman" w:cs="Times New Roman"/>
          <w:color w:val="auto"/>
          <w:sz w:val="24"/>
          <w:highlight w:val="none"/>
        </w:rPr>
        <mc:AlternateContent>
          <mc:Choice Requires="wps">
            <w:drawing>
              <wp:anchor distT="0" distB="0" distL="114300" distR="114300" simplePos="0" relativeHeight="251665408" behindDoc="0" locked="0" layoutInCell="1" allowOverlap="1">
                <wp:simplePos x="0" y="0"/>
                <wp:positionH relativeFrom="column">
                  <wp:posOffset>3713480</wp:posOffset>
                </wp:positionH>
                <wp:positionV relativeFrom="paragraph">
                  <wp:posOffset>3340735</wp:posOffset>
                </wp:positionV>
                <wp:extent cx="749935" cy="296545"/>
                <wp:effectExtent l="319405" t="4445" r="16510" b="213360"/>
                <wp:wrapNone/>
                <wp:docPr id="146" name="圆角矩形标注 146"/>
                <wp:cNvGraphicFramePr/>
                <a:graphic xmlns:a="http://schemas.openxmlformats.org/drawingml/2006/main">
                  <a:graphicData uri="http://schemas.microsoft.com/office/word/2010/wordprocessingShape">
                    <wps:wsp>
                      <wps:cNvSpPr/>
                      <wps:spPr>
                        <a:xfrm>
                          <a:off x="5810250" y="3123565"/>
                          <a:ext cx="749935" cy="296545"/>
                        </a:xfrm>
                        <a:prstGeom prst="wedgeRoundRectCallout">
                          <a:avLst>
                            <a:gd name="adj1" fmla="val -91998"/>
                            <a:gd name="adj2" fmla="val 115524"/>
                            <a:gd name="adj3" fmla="val 16667"/>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E7F7F7">
                            <w:pPr>
                              <w:jc w:val="center"/>
                              <w:rPr>
                                <w:rFonts w:hint="eastAsia"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92.4pt;margin-top:263.05pt;height:23.35pt;width:59.05pt;z-index:251665408;v-text-anchor:middle;mso-width-relative:page;mso-height-relative:page;" filled="f" stroked="t" coordsize="21600,21600" o:gfxdata="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" adj="-9072,35753,14400">
                <v:fill on="f" focussize="0,0"/>
                <v:stroke color="#000000 [3213]" joinstyle="round"/>
                <v:imagedata o:title=""/>
                <o:lock v:ext="edit" aspectratio="f"/>
                <v:textbox>
                  <w:txbxContent>
                    <w:p w14:paraId="08E7F7F7">
                      <w:pPr>
                        <w:jc w:val="center"/>
                        <w:rPr>
                          <w:rFonts w:hint="eastAsia" w:eastAsia="宋体"/>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color w:val="000000" w:themeColor="text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本项目</w:t>
                      </w:r>
                    </w:p>
                  </w:txbxContent>
                </v:textbox>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64384" behindDoc="0" locked="0" layoutInCell="1" allowOverlap="1">
                <wp:simplePos x="0" y="0"/>
                <wp:positionH relativeFrom="column">
                  <wp:posOffset>3096895</wp:posOffset>
                </wp:positionH>
                <wp:positionV relativeFrom="paragraph">
                  <wp:posOffset>3712210</wp:posOffset>
                </wp:positionV>
                <wp:extent cx="260350" cy="256540"/>
                <wp:effectExtent l="4445" t="4445" r="20955" b="5715"/>
                <wp:wrapNone/>
                <wp:docPr id="106" name="五角星 106"/>
                <wp:cNvGraphicFramePr/>
                <a:graphic xmlns:a="http://schemas.openxmlformats.org/drawingml/2006/main">
                  <a:graphicData uri="http://schemas.microsoft.com/office/word/2010/wordprocessingShape">
                    <wps:wsp>
                      <wps:cNvSpPr/>
                      <wps:spPr>
                        <a:xfrm>
                          <a:off x="5584825" y="4065905"/>
                          <a:ext cx="260350" cy="256540"/>
                        </a:xfrm>
                        <a:prstGeom prst="star5">
                          <a:avLst>
                            <a:gd name="adj" fmla="val 13734"/>
                            <a:gd name="hf" fmla="val 105146"/>
                            <a:gd name="vf" fmla="val 110557"/>
                          </a:avLst>
                        </a:prstGeom>
                        <a:solidFill>
                          <a:srgbClr val="FF0000"/>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43.85pt;margin-top:292.3pt;height:20.2pt;width:20.5pt;z-index:251664384;v-text-anchor:middle;mso-width-relative:page;mso-height-relative:page;" fillcolor="#FF0000" filled="t" stroked="t" coordsize="260350,256540" o:gfxdata="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MfxU3tgAAAALAQAADwAAAAAAAAABACAAAAAiAAAAZHJzL2Rvd25y&#10;ZXYueG1sUEsBAhQAFAAAAAgAh07iQCJQpxOpAgAAYQUAAA4AAAAAAAAAAQAgAAAAJwEAAGRycy9l&#10;Mm9Eb2MueG1sUEsFBgAAAAAGAAYAWQEAAEIGAAAAAA==&#10;" path="m0,97989l108076,110298,130175,0,152273,110298,260349,97989,165931,153848,210627,256539,130175,180764,49722,256539,94418,153848xe">
                <v:path o:connectlocs="130175,0;0,97989;49722,256539;210627,256539;260349,97989" o:connectangles="247,164,82,82,0"/>
                <v:fill on="t" focussize="0,0"/>
                <v:stroke color="#000000 [3213]" joinstyle="round"/>
                <v:imagedata o:title=""/>
                <o:lock v:ext="edit" aspectratio="f"/>
              </v:shape>
            </w:pict>
          </mc:Fallback>
        </mc:AlternateContent>
      </w:r>
      <w:r>
        <w:rPr>
          <w:rFonts w:hint="default" w:ascii="Times New Roman" w:hAnsi="Times New Roman" w:cs="Times New Roman"/>
          <w:color w:val="auto"/>
          <w:sz w:val="24"/>
          <w:highlight w:val="none"/>
        </w:rPr>
        <mc:AlternateContent>
          <mc:Choice Requires="wps">
            <w:drawing>
              <wp:anchor distT="0" distB="0" distL="114300" distR="114300" simplePos="0" relativeHeight="251677696" behindDoc="0" locked="0" layoutInCell="1" allowOverlap="1">
                <wp:simplePos x="0" y="0"/>
                <wp:positionH relativeFrom="column">
                  <wp:posOffset>5265420</wp:posOffset>
                </wp:positionH>
                <wp:positionV relativeFrom="paragraph">
                  <wp:posOffset>6943725</wp:posOffset>
                </wp:positionV>
                <wp:extent cx="260350" cy="256540"/>
                <wp:effectExtent l="4445" t="4445" r="20955" b="5715"/>
                <wp:wrapNone/>
                <wp:docPr id="34" name="五角星 34"/>
                <wp:cNvGraphicFramePr/>
                <a:graphic xmlns:a="http://schemas.openxmlformats.org/drawingml/2006/main">
                  <a:graphicData uri="http://schemas.microsoft.com/office/word/2010/wordprocessingShape">
                    <wps:wsp>
                      <wps:cNvSpPr/>
                      <wps:spPr>
                        <a:xfrm>
                          <a:off x="0" y="0"/>
                          <a:ext cx="260350" cy="256540"/>
                        </a:xfrm>
                        <a:prstGeom prst="star5">
                          <a:avLst>
                            <a:gd name="adj" fmla="val 13734"/>
                            <a:gd name="hf" fmla="val 105146"/>
                            <a:gd name="vf" fmla="val 110557"/>
                          </a:avLst>
                        </a:prstGeom>
                        <a:solidFill>
                          <a:srgbClr val="FF0000"/>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14.6pt;margin-top:546.75pt;height:20.2pt;width:20.5pt;z-index:251677696;v-text-anchor:middle;mso-width-relative:page;mso-height-relative:page;" fillcolor="#FF0000" filled="t" stroked="t" coordsize="260350,256540" o:gfxdata="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PNUgAfYAAAADQEAAA8AAAAAAAAAAQAgAAAAIgAAAGRycy9kb3ducmV2LnhtbFBLAQIUABQA&#10;AAAIAIdO4kAOY7cpmwIAAFMFAAAOAAAAAAAAAAEAIAAAACcBAABkcnMvZTJvRG9jLnhtbFBLBQYA&#10;AAAABgAGAFkBAAA0BgAAAAA=&#10;" path="m0,97989l108076,110298,130175,0,152273,110298,260349,97989,165931,153848,210627,256539,130175,180764,49722,256539,94418,153848xe">
                <v:path o:connectlocs="130175,0;0,97989;49722,256539;210627,256539;260349,97989" o:connectangles="247,164,82,82,0"/>
                <v:fill on="t" focussize="0,0"/>
                <v:stroke color="#000000 [3213]" joinstyle="round"/>
                <v:imagedata o:title=""/>
                <o:lock v:ext="edit" aspectratio="f"/>
              </v:shape>
            </w:pict>
          </mc:Fallback>
        </mc:AlternateContent>
      </w:r>
      <w:r>
        <w:rPr>
          <w:sz w:val="24"/>
        </w:rPr>
        <mc:AlternateContent>
          <mc:Choice Requires="wps">
            <w:drawing>
              <wp:anchor distT="0" distB="0" distL="114300" distR="114300" simplePos="0" relativeHeight="251676672" behindDoc="0" locked="0" layoutInCell="1" allowOverlap="1">
                <wp:simplePos x="0" y="0"/>
                <wp:positionH relativeFrom="column">
                  <wp:posOffset>4495800</wp:posOffset>
                </wp:positionH>
                <wp:positionV relativeFrom="paragraph">
                  <wp:posOffset>6801485</wp:posOffset>
                </wp:positionV>
                <wp:extent cx="1073150" cy="805815"/>
                <wp:effectExtent l="4445" t="4445" r="8255" b="8890"/>
                <wp:wrapNone/>
                <wp:docPr id="32" name="文本框 32"/>
                <wp:cNvGraphicFramePr/>
                <a:graphic xmlns:a="http://schemas.openxmlformats.org/drawingml/2006/main">
                  <a:graphicData uri="http://schemas.microsoft.com/office/word/2010/wordprocessingShape">
                    <wps:wsp>
                      <wps:cNvSpPr txBox="1"/>
                      <wps:spPr>
                        <a:xfrm>
                          <a:off x="8190230" y="4942840"/>
                          <a:ext cx="1073150" cy="8058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3D8F720">
                            <w:pPr>
                              <w:rPr>
                                <w:rFonts w:hint="eastAsia"/>
                                <w:lang w:val="en-US" w:eastAsia="zh-CN"/>
                              </w:rPr>
                            </w:pPr>
                            <w:r>
                              <w:rPr>
                                <w:rFonts w:hint="eastAsia"/>
                                <w:lang w:val="en-US" w:eastAsia="zh-CN"/>
                              </w:rPr>
                              <w:t>图例</w:t>
                            </w:r>
                          </w:p>
                          <w:p w14:paraId="1AB3B81B">
                            <w:pPr>
                              <w:rPr>
                                <w:rFonts w:hint="eastAsia"/>
                                <w:lang w:val="en-US" w:eastAsia="zh-CN"/>
                              </w:rPr>
                            </w:pPr>
                            <w:r>
                              <w:rPr>
                                <w:rFonts w:hint="eastAsia"/>
                                <w:lang w:val="en-US" w:eastAsia="zh-CN"/>
                              </w:rPr>
                              <w:t>本项目位置</w:t>
                            </w:r>
                          </w:p>
                          <w:p w14:paraId="76C149D4">
                            <w:pPr>
                              <w:rPr>
                                <w:rFonts w:hint="eastAsia"/>
                                <w:lang w:val="en-US" w:eastAsia="zh-CN"/>
                              </w:rPr>
                            </w:pPr>
                            <w:r>
                              <w:rPr>
                                <w:rFonts w:hint="eastAsia"/>
                                <w:lang w:val="en-US" w:eastAsia="zh-CN"/>
                              </w:rPr>
                              <w:t>比例尺</w:t>
                            </w:r>
                          </w:p>
                          <w:p w14:paraId="008A25CB">
                            <w:pPr>
                              <w:rPr>
                                <w:rFonts w:hint="default"/>
                                <w:lang w:val="en-US" w:eastAsia="zh-CN"/>
                              </w:rPr>
                            </w:pPr>
                            <w:r>
                              <w:rPr>
                                <w:rFonts w:hint="eastAsia"/>
                                <w:lang w:val="en-US" w:eastAsia="zh-CN"/>
                              </w:rPr>
                              <w:t>1:590000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4pt;margin-top:535.55pt;height:63.45pt;width:84.5pt;z-index:251676672;mso-width-relative:page;mso-height-relative:page;" fillcolor="#FFFFFF [3201]" filled="t" stroked="t" coordsize="21600,21600" o:gfxdata="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xPXl11wAAAA0BAAAPAAAAAAAAAAEAIAAAACIAAABkcnMvZG93bnJldi54bWxQSwECFAAU&#10;AAAACACHTuJAxMoLXWQCAADFBAAADgAAAAAAAAABACAAAAAmAQAAZHJzL2Uyb0RvYy54bWxQSwUG&#10;AAAAAAYABgBZAQAA/AUAAAAA&#10;">
                <v:fill on="t" focussize="0,0"/>
                <v:stroke weight="0.5pt" color="#000000 [3204]" joinstyle="round"/>
                <v:imagedata o:title=""/>
                <o:lock v:ext="edit" aspectratio="f"/>
                <v:textbox>
                  <w:txbxContent>
                    <w:p w14:paraId="53D8F720">
                      <w:pPr>
                        <w:rPr>
                          <w:rFonts w:hint="eastAsia"/>
                          <w:lang w:val="en-US" w:eastAsia="zh-CN"/>
                        </w:rPr>
                      </w:pPr>
                      <w:r>
                        <w:rPr>
                          <w:rFonts w:hint="eastAsia"/>
                          <w:lang w:val="en-US" w:eastAsia="zh-CN"/>
                        </w:rPr>
                        <w:t>图例</w:t>
                      </w:r>
                    </w:p>
                    <w:p w14:paraId="1AB3B81B">
                      <w:pPr>
                        <w:rPr>
                          <w:rFonts w:hint="eastAsia"/>
                          <w:lang w:val="en-US" w:eastAsia="zh-CN"/>
                        </w:rPr>
                      </w:pPr>
                      <w:r>
                        <w:rPr>
                          <w:rFonts w:hint="eastAsia"/>
                          <w:lang w:val="en-US" w:eastAsia="zh-CN"/>
                        </w:rPr>
                        <w:t>本项目位置</w:t>
                      </w:r>
                    </w:p>
                    <w:p w14:paraId="76C149D4">
                      <w:pPr>
                        <w:rPr>
                          <w:rFonts w:hint="eastAsia"/>
                          <w:lang w:val="en-US" w:eastAsia="zh-CN"/>
                        </w:rPr>
                      </w:pPr>
                      <w:r>
                        <w:rPr>
                          <w:rFonts w:hint="eastAsia"/>
                          <w:lang w:val="en-US" w:eastAsia="zh-CN"/>
                        </w:rPr>
                        <w:t>比例尺</w:t>
                      </w:r>
                    </w:p>
                    <w:p w14:paraId="008A25CB">
                      <w:pPr>
                        <w:rPr>
                          <w:rFonts w:hint="default"/>
                          <w:lang w:val="en-US" w:eastAsia="zh-CN"/>
                        </w:rPr>
                      </w:pPr>
                      <w:r>
                        <w:rPr>
                          <w:rFonts w:hint="eastAsia"/>
                          <w:lang w:val="en-US" w:eastAsia="zh-CN"/>
                        </w:rPr>
                        <w:t>1:590000</w:t>
                      </w:r>
                    </w:p>
                  </w:txbxContent>
                </v:textbox>
              </v:shape>
            </w:pict>
          </mc:Fallback>
        </mc:AlternateContent>
      </w:r>
    </w:p>
    <w:p w14:paraId="5833284E">
      <w:pPr>
        <w:keepNext/>
        <w:adjustRightInd w:val="0"/>
        <w:snapToGrid w:val="0"/>
        <w:spacing w:line="500" w:lineRule="exact"/>
        <w:jc w:val="center"/>
        <w:outlineLvl w:val="0"/>
        <w:rPr>
          <w:rFonts w:hint="default" w:ascii="Times New Roman" w:hAnsi="Times New Roman" w:cs="Times New Roman"/>
          <w:color w:val="auto"/>
          <w:highlight w:val="none"/>
        </w:rPr>
        <w:sectPr>
          <w:footerReference r:id="rId8" w:type="default"/>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bookmarkStart w:id="72" w:name="_Toc25619"/>
      <w:bookmarkStart w:id="73" w:name="_Toc22412"/>
      <w:bookmarkStart w:id="74" w:name="_Toc13876"/>
      <w:bookmarkStart w:id="75" w:name="_Toc82778285"/>
      <w:r>
        <w:rPr>
          <w:rFonts w:hint="default" w:ascii="黑体" w:hAnsi="黑体" w:eastAsia="黑体" w:cs="黑体"/>
          <w:b/>
          <w:color w:val="auto"/>
          <w:sz w:val="32"/>
          <w:szCs w:val="32"/>
          <w:highlight w:val="none"/>
          <w:lang w:val="en-US" w:eastAsia="zh-CN"/>
        </w:rPr>
        <w:t>附图1 地理位置图</w:t>
      </w:r>
      <w:bookmarkEnd w:id="72"/>
      <w:bookmarkEnd w:id="73"/>
      <w:bookmarkEnd w:id="74"/>
      <w:bookmarkEnd w:id="75"/>
    </w:p>
    <w:p w14:paraId="31DD2A4B">
      <w:pPr>
        <w:jc w:val="center"/>
        <w:rPr>
          <w:rFonts w:hint="default" w:ascii="Times New Roman" w:hAnsi="Times New Roman" w:cs="Times New Roman"/>
          <w:color w:val="auto"/>
          <w:highlight w:val="none"/>
        </w:rPr>
      </w:pPr>
      <w:bookmarkStart w:id="76" w:name="_Toc26851"/>
      <w:bookmarkStart w:id="77" w:name="_Toc27963"/>
      <w:bookmarkStart w:id="78" w:name="_Toc82778288"/>
      <w:bookmarkStart w:id="79" w:name="_Toc4064"/>
      <w:r>
        <w:rPr>
          <w:sz w:val="21"/>
        </w:rPr>
        <mc:AlternateContent>
          <mc:Choice Requires="wps">
            <w:drawing>
              <wp:anchor distT="0" distB="0" distL="114300" distR="114300" simplePos="0" relativeHeight="251693056" behindDoc="0" locked="0" layoutInCell="1" allowOverlap="1">
                <wp:simplePos x="0" y="0"/>
                <wp:positionH relativeFrom="column">
                  <wp:posOffset>969645</wp:posOffset>
                </wp:positionH>
                <wp:positionV relativeFrom="paragraph">
                  <wp:posOffset>4667250</wp:posOffset>
                </wp:positionV>
                <wp:extent cx="243205" cy="105410"/>
                <wp:effectExtent l="12700" t="12700" r="29845" b="15240"/>
                <wp:wrapNone/>
                <wp:docPr id="22" name="矩形 22"/>
                <wp:cNvGraphicFramePr/>
                <a:graphic xmlns:a="http://schemas.openxmlformats.org/drawingml/2006/main">
                  <a:graphicData uri="http://schemas.microsoft.com/office/word/2010/wordprocessingShape">
                    <wps:wsp>
                      <wps:cNvSpPr/>
                      <wps:spPr>
                        <a:xfrm>
                          <a:off x="0" y="0"/>
                          <a:ext cx="243205" cy="105410"/>
                        </a:xfrm>
                        <a:prstGeom prst="rect">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76.35pt;margin-top:367.5pt;height:8.3pt;width:19.15pt;z-index:251693056;v-text-anchor:middle;mso-width-relative:page;mso-height-relative:page;" fillcolor="#FFFF00" filled="t" stroked="t" coordsize="21600,21600" o:gfxdata="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uAIIZ9oAAAALAQAADwAAAAAAAAABACAAAAAiAAAAZHJzL2Rvd25yZXYueG1sUEsBAhQAFAAA&#10;AAgAh07iQNl8BVNfAgAA3gQAAA4AAAAAAAAAAQAgAAAAKQEAAGRycy9lMm9Eb2MueG1sUEsFBgAA&#10;AAAGAAYAWQEAAPoFAAAAAA==&#10;">
                <v:fill on="t" focussize="0,0"/>
                <v:stroke weight="2pt" color="#FFFF00 [3204]" joinstyle="round"/>
                <v:imagedata o:title=""/>
                <o:lock v:ext="edit" aspectratio="f"/>
              </v:rect>
            </w:pict>
          </mc:Fallback>
        </mc:AlternateContent>
      </w:r>
      <w:r>
        <w:rPr>
          <w:sz w:val="21"/>
        </w:rPr>
        <mc:AlternateContent>
          <mc:Choice Requires="wps">
            <w:drawing>
              <wp:anchor distT="0" distB="0" distL="114300" distR="114300" simplePos="0" relativeHeight="251692032" behindDoc="0" locked="0" layoutInCell="1" allowOverlap="1">
                <wp:simplePos x="0" y="0"/>
                <wp:positionH relativeFrom="column">
                  <wp:posOffset>1541780</wp:posOffset>
                </wp:positionH>
                <wp:positionV relativeFrom="paragraph">
                  <wp:posOffset>4476115</wp:posOffset>
                </wp:positionV>
                <wp:extent cx="243205" cy="105410"/>
                <wp:effectExtent l="12700" t="12700" r="29845" b="15240"/>
                <wp:wrapNone/>
                <wp:docPr id="21" name="矩形 21"/>
                <wp:cNvGraphicFramePr/>
                <a:graphic xmlns:a="http://schemas.openxmlformats.org/drawingml/2006/main">
                  <a:graphicData uri="http://schemas.microsoft.com/office/word/2010/wordprocessingShape">
                    <wps:wsp>
                      <wps:cNvSpPr/>
                      <wps:spPr>
                        <a:xfrm>
                          <a:off x="0" y="0"/>
                          <a:ext cx="243205" cy="105410"/>
                        </a:xfrm>
                        <a:prstGeom prst="rect">
                          <a:avLst/>
                        </a:prstGeom>
                        <a:noFill/>
                        <a:ln>
                          <a:solidFill>
                            <a:srgbClr val="EAF20C"/>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21.4pt;margin-top:352.45pt;height:8.3pt;width:19.15pt;z-index:251692032;v-text-anchor:middle;mso-width-relative:page;mso-height-relative:page;" filled="f" stroked="t" coordsize="21600,21600" o:gfxdata="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2V9f92QAAAAsBAAAPAAAAAAAAAAEAIAAAACIAAABkcnMvZG93bnJldi54bWxQSwECFAAUAAAA&#10;CACHTuJAXIXAZF8CAAC1BAAADgAAAAAAAAABACAAAAAoAQAAZHJzL2Uyb0RvYy54bWxQSwUGAAAA&#10;AAYABgBZAQAA+QUAAAAA&#10;">
                <v:fill on="f" focussize="0,0"/>
                <v:stroke weight="2pt" color="#EAF20C [3204]" joinstyle="round"/>
                <v:imagedata o:title=""/>
                <o:lock v:ext="edit" aspectratio="f"/>
              </v:rect>
            </w:pict>
          </mc:Fallback>
        </mc:AlternateContent>
      </w:r>
      <w:r>
        <w:rPr>
          <w:sz w:val="21"/>
        </w:rPr>
        <mc:AlternateContent>
          <mc:Choice Requires="wps">
            <w:drawing>
              <wp:anchor distT="0" distB="0" distL="114300" distR="114300" simplePos="0" relativeHeight="251691008" behindDoc="0" locked="0" layoutInCell="1" allowOverlap="1">
                <wp:simplePos x="0" y="0"/>
                <wp:positionH relativeFrom="column">
                  <wp:posOffset>1383030</wp:posOffset>
                </wp:positionH>
                <wp:positionV relativeFrom="paragraph">
                  <wp:posOffset>4338955</wp:posOffset>
                </wp:positionV>
                <wp:extent cx="243205" cy="105410"/>
                <wp:effectExtent l="12700" t="12700" r="29845" b="15240"/>
                <wp:wrapNone/>
                <wp:docPr id="8" name="矩形 8"/>
                <wp:cNvGraphicFramePr/>
                <a:graphic xmlns:a="http://schemas.openxmlformats.org/drawingml/2006/main">
                  <a:graphicData uri="http://schemas.microsoft.com/office/word/2010/wordprocessingShape">
                    <wps:wsp>
                      <wps:cNvSpPr/>
                      <wps:spPr>
                        <a:xfrm>
                          <a:off x="0" y="0"/>
                          <a:ext cx="243205" cy="105410"/>
                        </a:xfrm>
                        <a:prstGeom prst="rect">
                          <a:avLst/>
                        </a:prstGeom>
                        <a:noFill/>
                        <a:ln>
                          <a:solidFill>
                            <a:srgbClr val="0202F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8.9pt;margin-top:341.65pt;height:8.3pt;width:19.15pt;z-index:251691008;v-text-anchor:middle;mso-width-relative:page;mso-height-relative:page;" filled="f" stroked="t" coordsize="21600,21600" o:gfxdata="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Os1XxfaAAAACwEAAA8AAAAAAAAAAQAgAAAAIgAAAGRycy9kb3ducmV2LnhtbFBLAQIUABQAAAAI&#10;AIdO4kBAta1TXQIAALMEAAAOAAAAAAAAAAEAIAAAACkBAABkcnMvZTJvRG9jLnhtbFBLBQYAAAAA&#10;BgAGAFkBAAD4BQAAAAA=&#10;">
                <v:fill on="f" focussize="0,0"/>
                <v:stroke weight="2pt" color="#0202FA [3204]" joinstyle="round"/>
                <v:imagedata o:title=""/>
                <o:lock v:ext="edit" aspectratio="f"/>
              </v:rect>
            </w:pict>
          </mc:Fallback>
        </mc:AlternateContent>
      </w:r>
      <w:r>
        <w:rPr>
          <w:sz w:val="21"/>
        </w:rPr>
        <mc:AlternateContent>
          <mc:Choice Requires="wps">
            <w:drawing>
              <wp:anchor distT="0" distB="0" distL="114300" distR="114300" simplePos="0" relativeHeight="251689984" behindDoc="0" locked="0" layoutInCell="1" allowOverlap="1">
                <wp:simplePos x="0" y="0"/>
                <wp:positionH relativeFrom="column">
                  <wp:posOffset>822325</wp:posOffset>
                </wp:positionH>
                <wp:positionV relativeFrom="paragraph">
                  <wp:posOffset>4148455</wp:posOffset>
                </wp:positionV>
                <wp:extent cx="243205" cy="105410"/>
                <wp:effectExtent l="12700" t="12700" r="29845" b="15240"/>
                <wp:wrapNone/>
                <wp:docPr id="3" name="矩形 3"/>
                <wp:cNvGraphicFramePr/>
                <a:graphic xmlns:a="http://schemas.openxmlformats.org/drawingml/2006/main">
                  <a:graphicData uri="http://schemas.microsoft.com/office/word/2010/wordprocessingShape">
                    <wps:wsp>
                      <wps:cNvSpPr/>
                      <wps:spPr>
                        <a:xfrm>
                          <a:off x="2134870" y="5026660"/>
                          <a:ext cx="243205" cy="10541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4.75pt;margin-top:326.65pt;height:8.3pt;width:19.15pt;z-index:251689984;v-text-anchor:middle;mso-width-relative:page;mso-height-relative:page;" filled="f" stroked="t" coordsize="21600,21600" o:gfxdata="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AICbwvZAAAACwEAAA8AAAAAAAAAAQAgAAAAIgAAAGRycy9kb3ducmV2Lnht&#10;bFBLAQIUABQAAAAIAIdO4kC9cApiagIAAL8EAAAOAAAAAAAAAAEAIAAAACgBAABkcnMvZTJvRG9j&#10;LnhtbFBLBQYAAAAABgAGAFkBAAAEBgAAAAA=&#10;">
                <v:fill on="f" focussize="0,0"/>
                <v:stroke weight="2pt" color="#FF0000 [3204]" joinstyle="round"/>
                <v:imagedata o:title=""/>
                <o:lock v:ext="edit" aspectratio="f"/>
              </v:rect>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282575</wp:posOffset>
                </wp:positionH>
                <wp:positionV relativeFrom="paragraph">
                  <wp:posOffset>3903980</wp:posOffset>
                </wp:positionV>
                <wp:extent cx="1619250" cy="104775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1531620" y="4751070"/>
                          <a:ext cx="1619250" cy="10477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871E34E">
                            <w:pPr>
                              <w:jc w:val="center"/>
                              <w:rPr>
                                <w:rFonts w:hint="eastAsia"/>
                                <w:lang w:val="en-US" w:eastAsia="zh-CN"/>
                              </w:rPr>
                            </w:pPr>
                            <w:r>
                              <w:rPr>
                                <w:rFonts w:hint="eastAsia"/>
                                <w:lang w:val="en-US" w:eastAsia="zh-CN"/>
                              </w:rPr>
                              <w:t>图例</w:t>
                            </w:r>
                          </w:p>
                          <w:p w14:paraId="09A23527">
                            <w:pPr>
                              <w:rPr>
                                <w:rFonts w:hint="eastAsia"/>
                                <w:lang w:val="en-US" w:eastAsia="zh-CN"/>
                              </w:rPr>
                            </w:pPr>
                            <w:r>
                              <w:rPr>
                                <w:rFonts w:hint="eastAsia"/>
                                <w:lang w:val="en-US" w:eastAsia="zh-CN"/>
                              </w:rPr>
                              <w:t>本项目</w:t>
                            </w:r>
                          </w:p>
                          <w:p w14:paraId="5482E298">
                            <w:pPr>
                              <w:rPr>
                                <w:rFonts w:hint="eastAsia"/>
                                <w:lang w:val="en-US" w:eastAsia="zh-CN"/>
                              </w:rPr>
                            </w:pPr>
                            <w:r>
                              <w:rPr>
                                <w:rFonts w:hint="eastAsia"/>
                                <w:lang w:val="en-US" w:eastAsia="zh-CN"/>
                              </w:rPr>
                              <w:t>声环境调查范围</w:t>
                            </w:r>
                          </w:p>
                          <w:p w14:paraId="127C3112">
                            <w:pPr>
                              <w:rPr>
                                <w:rFonts w:hint="eastAsia"/>
                                <w:lang w:val="en-US" w:eastAsia="zh-CN"/>
                              </w:rPr>
                            </w:pPr>
                            <w:r>
                              <w:rPr>
                                <w:rFonts w:hint="eastAsia"/>
                                <w:lang w:val="en-US" w:eastAsia="zh-CN"/>
                              </w:rPr>
                              <w:t>大气环境调查范围</w:t>
                            </w:r>
                          </w:p>
                          <w:p w14:paraId="42E47BCF">
                            <w:pPr>
                              <w:rPr>
                                <w:rFonts w:hint="default"/>
                                <w:lang w:val="en-US" w:eastAsia="zh-CN"/>
                              </w:rPr>
                            </w:pPr>
                            <w:r>
                              <w:rPr>
                                <w:rFonts w:hint="eastAsia"/>
                                <w:lang w:val="en-US" w:eastAsia="zh-CN"/>
                              </w:rPr>
                              <w:t>保护目标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5pt;margin-top:307.4pt;height:82.5pt;width:127.5pt;z-index:251688960;mso-width-relative:page;mso-height-relative:page;" fillcolor="#FFFFFF [3201]" filled="t" stroked="t" coordsize="21600,21600" o:gfxdata="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WZ+QE1wAAAAoBAAAPAAAAAAAAAAEAIAAAACIAAABkcnMvZG93bnJldi54bWxQSwECFAAUAAAA&#10;CACHTuJAUTgS+GECAADEBAAADgAAAAAAAAABACAAAAAmAQAAZHJzL2Uyb0RvYy54bWxQSwUGAAAA&#10;AAYABgBZAQAA+QUAAAAA&#10;">
                <v:fill on="t" focussize="0,0"/>
                <v:stroke weight="0.5pt" color="#000000 [3204]" joinstyle="round"/>
                <v:imagedata o:title=""/>
                <o:lock v:ext="edit" aspectratio="f"/>
                <v:textbox>
                  <w:txbxContent>
                    <w:p w14:paraId="3871E34E">
                      <w:pPr>
                        <w:jc w:val="center"/>
                        <w:rPr>
                          <w:rFonts w:hint="eastAsia"/>
                          <w:lang w:val="en-US" w:eastAsia="zh-CN"/>
                        </w:rPr>
                      </w:pPr>
                      <w:r>
                        <w:rPr>
                          <w:rFonts w:hint="eastAsia"/>
                          <w:lang w:val="en-US" w:eastAsia="zh-CN"/>
                        </w:rPr>
                        <w:t>图例</w:t>
                      </w:r>
                    </w:p>
                    <w:p w14:paraId="09A23527">
                      <w:pPr>
                        <w:rPr>
                          <w:rFonts w:hint="eastAsia"/>
                          <w:lang w:val="en-US" w:eastAsia="zh-CN"/>
                        </w:rPr>
                      </w:pPr>
                      <w:r>
                        <w:rPr>
                          <w:rFonts w:hint="eastAsia"/>
                          <w:lang w:val="en-US" w:eastAsia="zh-CN"/>
                        </w:rPr>
                        <w:t>本项目</w:t>
                      </w:r>
                    </w:p>
                    <w:p w14:paraId="5482E298">
                      <w:pPr>
                        <w:rPr>
                          <w:rFonts w:hint="eastAsia"/>
                          <w:lang w:val="en-US" w:eastAsia="zh-CN"/>
                        </w:rPr>
                      </w:pPr>
                      <w:r>
                        <w:rPr>
                          <w:rFonts w:hint="eastAsia"/>
                          <w:lang w:val="en-US" w:eastAsia="zh-CN"/>
                        </w:rPr>
                        <w:t>声环境调查范围</w:t>
                      </w:r>
                    </w:p>
                    <w:p w14:paraId="127C3112">
                      <w:pPr>
                        <w:rPr>
                          <w:rFonts w:hint="eastAsia"/>
                          <w:lang w:val="en-US" w:eastAsia="zh-CN"/>
                        </w:rPr>
                      </w:pPr>
                      <w:r>
                        <w:rPr>
                          <w:rFonts w:hint="eastAsia"/>
                          <w:lang w:val="en-US" w:eastAsia="zh-CN"/>
                        </w:rPr>
                        <w:t>大气环境调查范围</w:t>
                      </w:r>
                    </w:p>
                    <w:p w14:paraId="42E47BCF">
                      <w:pPr>
                        <w:rPr>
                          <w:rFonts w:hint="default"/>
                          <w:lang w:val="en-US" w:eastAsia="zh-CN"/>
                        </w:rPr>
                      </w:pPr>
                      <w:r>
                        <w:rPr>
                          <w:rFonts w:hint="eastAsia"/>
                          <w:lang w:val="en-US" w:eastAsia="zh-CN"/>
                        </w:rPr>
                        <w:t>保护目标</w:t>
                      </w:r>
                    </w:p>
                  </w:txbxContent>
                </v:textbox>
              </v:shape>
            </w:pict>
          </mc:Fallback>
        </mc:AlternateContent>
      </w:r>
      <w:r>
        <w:rPr>
          <w:rFonts w:hint="eastAsia" w:eastAsia="宋体"/>
          <w:lang w:eastAsia="zh-CN"/>
        </w:rPr>
        <w:drawing>
          <wp:anchor distT="0" distB="0" distL="114300" distR="114300" simplePos="0" relativeHeight="251681792" behindDoc="0" locked="0" layoutInCell="1" allowOverlap="1">
            <wp:simplePos x="0" y="0"/>
            <wp:positionH relativeFrom="column">
              <wp:posOffset>7174865</wp:posOffset>
            </wp:positionH>
            <wp:positionV relativeFrom="paragraph">
              <wp:posOffset>37465</wp:posOffset>
            </wp:positionV>
            <wp:extent cx="1068705" cy="1030605"/>
            <wp:effectExtent l="0" t="0" r="17145" b="17145"/>
            <wp:wrapNone/>
            <wp:docPr id="98" name="图片 98"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图片2"/>
                    <pic:cNvPicPr>
                      <a:picLocks noChangeAspect="1"/>
                    </pic:cNvPicPr>
                  </pic:nvPicPr>
                  <pic:blipFill>
                    <a:blip r:embed="rId58"/>
                    <a:stretch>
                      <a:fillRect/>
                    </a:stretch>
                  </pic:blipFill>
                  <pic:spPr>
                    <a:xfrm>
                      <a:off x="0" y="0"/>
                      <a:ext cx="1068705" cy="1030605"/>
                    </a:xfrm>
                    <a:prstGeom prst="rect">
                      <a:avLst/>
                    </a:prstGeom>
                  </pic:spPr>
                </pic:pic>
              </a:graphicData>
            </a:graphic>
          </wp:anchor>
        </w:drawing>
      </w:r>
      <w:r>
        <w:drawing>
          <wp:inline distT="0" distB="0" distL="114300" distR="114300">
            <wp:extent cx="7990205" cy="4961890"/>
            <wp:effectExtent l="9525" t="9525" r="20320" b="19685"/>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60"/>
                    <a:stretch>
                      <a:fillRect/>
                    </a:stretch>
                  </pic:blipFill>
                  <pic:spPr>
                    <a:xfrm>
                      <a:off x="0" y="0"/>
                      <a:ext cx="7990205" cy="4961890"/>
                    </a:xfrm>
                    <a:prstGeom prst="rect">
                      <a:avLst/>
                    </a:prstGeom>
                    <a:noFill/>
                    <a:ln w="6350">
                      <a:solidFill>
                        <a:schemeClr val="tx1"/>
                      </a:solidFill>
                    </a:ln>
                  </pic:spPr>
                </pic:pic>
              </a:graphicData>
            </a:graphic>
          </wp:inline>
        </w:drawing>
      </w:r>
      <w:r>
        <w:rPr>
          <w:rFonts w:hint="default" w:ascii="Times New Roman" w:hAnsi="Times New Roman" w:cs="Times New Roman"/>
          <w:color w:val="auto"/>
          <w:sz w:val="28"/>
          <w:highlight w:val="none"/>
        </w:rPr>
        <mc:AlternateContent>
          <mc:Choice Requires="wps">
            <w:drawing>
              <wp:anchor distT="0" distB="0" distL="114300" distR="114300" simplePos="0" relativeHeight="251670528" behindDoc="0" locked="0" layoutInCell="1" allowOverlap="1">
                <wp:simplePos x="0" y="0"/>
                <wp:positionH relativeFrom="column">
                  <wp:posOffset>4062730</wp:posOffset>
                </wp:positionH>
                <wp:positionV relativeFrom="paragraph">
                  <wp:posOffset>1970405</wp:posOffset>
                </wp:positionV>
                <wp:extent cx="838200" cy="400050"/>
                <wp:effectExtent l="0" t="0" r="0" b="0"/>
                <wp:wrapNone/>
                <wp:docPr id="45" name="矩形 45"/>
                <wp:cNvGraphicFramePr/>
                <a:graphic xmlns:a="http://schemas.openxmlformats.org/drawingml/2006/main">
                  <a:graphicData uri="http://schemas.microsoft.com/office/word/2010/wordprocessingShape">
                    <wps:wsp>
                      <wps:cNvSpPr/>
                      <wps:spPr>
                        <a:xfrm>
                          <a:off x="7032625" y="2756535"/>
                          <a:ext cx="838200" cy="4000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1F3B436">
                            <w:pPr>
                              <w:jc w:val="center"/>
                              <w:rPr>
                                <w:rFonts w:hint="default" w:eastAsia="宋体"/>
                                <w:color w:val="FFFFFF" w:themeColor="background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bg1"/>
                                  </w14:solidFill>
                                </w14:textFill>
                                <w14:props3d w14:extrusionH="0" w14:contourW="0" w14:prstMaterial="clear"/>
                              </w:rPr>
                            </w:pPr>
                            <w:r>
                              <w:rPr>
                                <w:rFonts w:hint="eastAsia"/>
                                <w:color w:val="FFFFFF" w:themeColor="background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bg1"/>
                                  </w14:solidFill>
                                </w14:textFill>
                                <w14:props3d w14:extrusionH="0" w14:contourW="0" w14:prstMaterial="clear"/>
                              </w:rPr>
                              <w:t>DA001</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9.9pt;margin-top:155.15pt;height:31.5pt;width:66pt;z-index:251670528;v-text-anchor:middle;mso-width-relative:page;mso-height-relative:page;" filled="f" stroked="f" coordsize="21600,21600" o:gfxdata="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FhpztdkAAAALAQAADwAAAAAAAAABACAAAAAiAAAAZHJzL2Rvd25yZXYueG1sUEsBAhQAFAAA&#10;AAgAh07iQI7yz0NgAgAAowQAAA4AAAAAAAAAAQAgAAAAKAEAAGRycy9lMm9Eb2MueG1sUEsFBgAA&#10;AAAGAAYAWQEAAPoFAAAAAA==&#10;">
                <v:fill on="f" focussize="0,0"/>
                <v:stroke on="f" weight="2pt"/>
                <v:imagedata o:title=""/>
                <o:lock v:ext="edit" aspectratio="f"/>
                <v:textbox>
                  <w:txbxContent>
                    <w:p w14:paraId="71F3B436">
                      <w:pPr>
                        <w:jc w:val="center"/>
                        <w:rPr>
                          <w:rFonts w:hint="default" w:eastAsia="宋体"/>
                          <w:color w:val="FFFFFF" w:themeColor="background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bg1"/>
                            </w14:solidFill>
                          </w14:textFill>
                          <w14:props3d w14:extrusionH="0" w14:contourW="0" w14:prstMaterial="clear"/>
                        </w:rPr>
                      </w:pPr>
                      <w:r>
                        <w:rPr>
                          <w:rFonts w:hint="eastAsia"/>
                          <w:color w:val="FFFFFF" w:themeColor="background1"/>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bg1"/>
                            </w14:solidFill>
                          </w14:textFill>
                          <w14:props3d w14:extrusionH="0" w14:contourW="0" w14:prstMaterial="clear"/>
                        </w:rPr>
                        <w:t>DA001</w:t>
                      </w:r>
                    </w:p>
                  </w:txbxContent>
                </v:textbox>
              </v:rect>
            </w:pict>
          </mc:Fallback>
        </mc:AlternateContent>
      </w:r>
      <w:r>
        <w:rPr>
          <w:rFonts w:hint="default" w:ascii="Times New Roman" w:hAnsi="Times New Roman" w:cs="Times New Roman"/>
          <w:color w:val="auto"/>
          <w:sz w:val="28"/>
          <w:highlight w:val="none"/>
        </w:rPr>
        <mc:AlternateContent>
          <mc:Choice Requires="wps">
            <w:drawing>
              <wp:anchor distT="0" distB="0" distL="114300" distR="114300" simplePos="0" relativeHeight="251669504" behindDoc="0" locked="0" layoutInCell="1" allowOverlap="1">
                <wp:simplePos x="0" y="0"/>
                <wp:positionH relativeFrom="column">
                  <wp:posOffset>4429125</wp:posOffset>
                </wp:positionH>
                <wp:positionV relativeFrom="paragraph">
                  <wp:posOffset>2297430</wp:posOffset>
                </wp:positionV>
                <wp:extent cx="76200" cy="76200"/>
                <wp:effectExtent l="12700" t="12700" r="25400" b="25400"/>
                <wp:wrapNone/>
                <wp:docPr id="39" name="椭圆 39"/>
                <wp:cNvGraphicFramePr/>
                <a:graphic xmlns:a="http://schemas.openxmlformats.org/drawingml/2006/main">
                  <a:graphicData uri="http://schemas.microsoft.com/office/word/2010/wordprocessingShape">
                    <wps:wsp>
                      <wps:cNvSpPr/>
                      <wps:spPr>
                        <a:xfrm>
                          <a:off x="6797675" y="2832735"/>
                          <a:ext cx="76200" cy="7620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48.75pt;margin-top:180.9pt;height:6pt;width:6pt;z-index:251669504;v-text-anchor:middle;mso-width-relative:page;mso-height-relative:page;" fillcolor="#000000 [3213]" filled="t" stroked="t" coordsize="21600,21600" o:gfxdata="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iC0DwdgAAAALAQAADwAAAAAAAAABACAAAAAiAAAAZHJzL2Rvd25yZXYueG1s&#10;UEsBAhQAFAAAAAgAh07iQJ+Du6xqAgAA6wQAAA4AAAAAAAAAAQAgAAAAJwEAAGRycy9lMm9Eb2Mu&#10;eG1sUEsFBgAAAAAGAAYAWQEAAAMGAAAAAA==&#10;">
                <v:fill on="t" focussize="0,0"/>
                <v:stroke weight="2pt" color="#000000 [3213]" joinstyle="round"/>
                <v:imagedata o:title=""/>
                <o:lock v:ext="edit" aspectratio="f"/>
              </v:shape>
            </w:pict>
          </mc:Fallback>
        </mc:AlternateContent>
      </w:r>
      <w:r>
        <w:rPr>
          <w:sz w:val="21"/>
        </w:rPr>
        <mc:AlternateContent>
          <mc:Choice Requires="wps">
            <w:drawing>
              <wp:anchor distT="0" distB="0" distL="114300" distR="114300" simplePos="0" relativeHeight="251679744" behindDoc="0" locked="0" layoutInCell="1" allowOverlap="1">
                <wp:simplePos x="0" y="0"/>
                <wp:positionH relativeFrom="column">
                  <wp:posOffset>4564380</wp:posOffset>
                </wp:positionH>
                <wp:positionV relativeFrom="paragraph">
                  <wp:posOffset>2665730</wp:posOffset>
                </wp:positionV>
                <wp:extent cx="819785" cy="24892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819785" cy="2489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5C6ED9">
                            <w:pPr>
                              <w:rPr>
                                <w:rFonts w:hint="default" w:eastAsia="宋体"/>
                                <w:color w:val="FFFF00"/>
                                <w:lang w:val="en-US" w:eastAsia="zh-CN"/>
                              </w:rPr>
                            </w:pPr>
                            <w:r>
                              <w:rPr>
                                <w:rFonts w:hint="eastAsia"/>
                                <w:color w:val="FFFF00"/>
                                <w:lang w:val="en-US" w:eastAsia="zh-CN"/>
                              </w:rPr>
                              <w:t>景阳村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9.4pt;margin-top:209.9pt;height:19.6pt;width:64.55pt;z-index:251679744;mso-width-relative:page;mso-height-relative:page;" filled="f" stroked="f" coordsize="21600,21600" o:gfxdata="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E4ToBLcAAAACwEAAA8AAAAAAAAAAQAgAAAAIgAA&#10;AGRycy9kb3ducmV2LnhtbFBLAQIUABQAAAAIAIdO4kBeKCx+PQIAAGcEAAAOAAAAAAAAAAEAIAAA&#10;ACsBAABkcnMvZTJvRG9jLnhtbFBLBQYAAAAABgAGAFkBAADaBQAAAAA=&#10;">
                <v:fill on="f" focussize="0,0"/>
                <v:stroke on="f" weight="0.5pt"/>
                <v:imagedata o:title=""/>
                <o:lock v:ext="edit" aspectratio="f"/>
                <v:textbox>
                  <w:txbxContent>
                    <w:p w14:paraId="015C6ED9">
                      <w:pPr>
                        <w:rPr>
                          <w:rFonts w:hint="default" w:eastAsia="宋体"/>
                          <w:color w:val="FFFF00"/>
                          <w:lang w:val="en-US" w:eastAsia="zh-CN"/>
                        </w:rPr>
                      </w:pPr>
                      <w:r>
                        <w:rPr>
                          <w:rFonts w:hint="eastAsia"/>
                          <w:color w:val="FFFF00"/>
                          <w:lang w:val="en-US" w:eastAsia="zh-CN"/>
                        </w:rPr>
                        <w:t>景阳村</w:t>
                      </w:r>
                    </w:p>
                  </w:txbxContent>
                </v:textbox>
              </v:shape>
            </w:pict>
          </mc:Fallback>
        </mc:AlternateContent>
      </w:r>
      <w:r>
        <w:rPr>
          <w:sz w:val="21"/>
        </w:rPr>
        <mc:AlternateContent>
          <mc:Choice Requires="wps">
            <w:drawing>
              <wp:anchor distT="0" distB="0" distL="114300" distR="114300" simplePos="0" relativeHeight="251678720" behindDoc="0" locked="0" layoutInCell="1" allowOverlap="1">
                <wp:simplePos x="0" y="0"/>
                <wp:positionH relativeFrom="column">
                  <wp:posOffset>4003040</wp:posOffset>
                </wp:positionH>
                <wp:positionV relativeFrom="paragraph">
                  <wp:posOffset>1001395</wp:posOffset>
                </wp:positionV>
                <wp:extent cx="819785" cy="295910"/>
                <wp:effectExtent l="0" t="0" r="0" b="0"/>
                <wp:wrapNone/>
                <wp:docPr id="69" name="文本框 69"/>
                <wp:cNvGraphicFramePr/>
                <a:graphic xmlns:a="http://schemas.openxmlformats.org/drawingml/2006/main">
                  <a:graphicData uri="http://schemas.microsoft.com/office/word/2010/wordprocessingShape">
                    <wps:wsp>
                      <wps:cNvSpPr txBox="1"/>
                      <wps:spPr>
                        <a:xfrm>
                          <a:off x="6422390" y="1699895"/>
                          <a:ext cx="819785" cy="2959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AEDD66">
                            <w:pPr>
                              <w:rPr>
                                <w:rFonts w:hint="default" w:eastAsia="宋体"/>
                                <w:color w:val="FFFF00"/>
                                <w:lang w:val="en-US" w:eastAsia="zh-CN"/>
                              </w:rPr>
                            </w:pPr>
                            <w:r>
                              <w:rPr>
                                <w:rFonts w:hint="eastAsia"/>
                                <w:color w:val="FFFF00"/>
                                <w:lang w:val="en-US" w:eastAsia="zh-CN"/>
                              </w:rPr>
                              <w:t>满天红村</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2pt;margin-top:78.85pt;height:23.3pt;width:64.55pt;z-index:251678720;mso-width-relative:page;mso-height-relative:page;" filled="f" stroked="f" coordsize="21600,21600" o:gfxdata="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tpgWQ3AAAAAsBAAAPAAAA&#10;AAAAAAEAIAAAACIAAABkcnMvZG93bnJldi54bWxQSwECFAAUAAAACACHTuJAKKflBkoCAABzBAAA&#10;DgAAAAAAAAABACAAAAArAQAAZHJzL2Uyb0RvYy54bWxQSwUGAAAAAAYABgBZAQAA5wUAAAAA&#10;">
                <v:fill on="f" focussize="0,0"/>
                <v:stroke on="f" weight="0.5pt"/>
                <v:imagedata o:title=""/>
                <o:lock v:ext="edit" aspectratio="f"/>
                <v:textbox>
                  <w:txbxContent>
                    <w:p w14:paraId="14AEDD66">
                      <w:pPr>
                        <w:rPr>
                          <w:rFonts w:hint="default" w:eastAsia="宋体"/>
                          <w:color w:val="FFFF00"/>
                          <w:lang w:val="en-US" w:eastAsia="zh-CN"/>
                        </w:rPr>
                      </w:pPr>
                      <w:r>
                        <w:rPr>
                          <w:rFonts w:hint="eastAsia"/>
                          <w:color w:val="FFFF00"/>
                          <w:lang w:val="en-US" w:eastAsia="zh-CN"/>
                        </w:rPr>
                        <w:t>满天红村</w:t>
                      </w:r>
                    </w:p>
                  </w:txbxContent>
                </v:textbox>
              </v:shape>
            </w:pict>
          </mc:Fallback>
        </mc:AlternateContent>
      </w:r>
    </w:p>
    <w:p w14:paraId="69DE0557">
      <w:pPr>
        <w:keepNext/>
        <w:adjustRightInd w:val="0"/>
        <w:snapToGrid w:val="0"/>
        <w:spacing w:line="500" w:lineRule="exact"/>
        <w:jc w:val="center"/>
        <w:outlineLvl w:val="0"/>
        <w:rPr>
          <w:rFonts w:hint="default" w:ascii="黑体" w:hAnsi="黑体" w:eastAsia="黑体" w:cs="黑体"/>
          <w:b/>
          <w:color w:val="auto"/>
          <w:sz w:val="32"/>
          <w:szCs w:val="32"/>
          <w:highlight w:val="none"/>
          <w:lang w:val="en-US" w:eastAsia="zh-CN"/>
        </w:rPr>
        <w:sectPr>
          <w:pgSz w:w="16838" w:h="11906" w:orient="landscape"/>
          <w:pgMar w:top="1417" w:right="1701" w:bottom="1417" w:left="1701" w:header="851" w:footer="850" w:gutter="0"/>
          <w:pgBorders>
            <w:top w:val="none" w:sz="0" w:space="0"/>
            <w:left w:val="none" w:sz="0" w:space="0"/>
            <w:bottom w:val="none" w:sz="0" w:space="0"/>
            <w:right w:val="none" w:sz="0" w:space="0"/>
          </w:pgBorders>
          <w:pgNumType w:fmt="decimal"/>
          <w:cols w:space="720" w:num="1"/>
          <w:rtlGutter w:val="0"/>
          <w:docGrid w:linePitch="312" w:charSpace="0"/>
        </w:sectPr>
      </w:pPr>
      <w:r>
        <w:rPr>
          <w:rFonts w:hint="default" w:ascii="黑体" w:hAnsi="黑体" w:eastAsia="黑体" w:cs="黑体"/>
          <w:b/>
          <w:color w:val="auto"/>
          <w:sz w:val="32"/>
          <w:szCs w:val="32"/>
          <w:highlight w:val="none"/>
          <w:lang w:val="en-US" w:eastAsia="zh-CN"/>
        </w:rPr>
        <w:t>附图</w:t>
      </w:r>
      <w:r>
        <w:rPr>
          <w:rFonts w:hint="eastAsia" w:ascii="黑体" w:hAnsi="黑体" w:eastAsia="黑体" w:cs="黑体"/>
          <w:b/>
          <w:color w:val="auto"/>
          <w:sz w:val="32"/>
          <w:szCs w:val="32"/>
          <w:highlight w:val="none"/>
          <w:lang w:val="en-US" w:eastAsia="zh-CN"/>
        </w:rPr>
        <w:t>2</w:t>
      </w:r>
      <w:r>
        <w:rPr>
          <w:rFonts w:hint="default" w:ascii="黑体" w:hAnsi="黑体" w:eastAsia="黑体" w:cs="黑体"/>
          <w:b/>
          <w:color w:val="auto"/>
          <w:sz w:val="32"/>
          <w:szCs w:val="32"/>
          <w:highlight w:val="none"/>
          <w:lang w:val="en-US" w:eastAsia="zh-CN"/>
        </w:rPr>
        <w:t xml:space="preserve"> </w:t>
      </w:r>
      <w:r>
        <w:rPr>
          <w:rFonts w:hint="eastAsia" w:ascii="黑体" w:hAnsi="黑体" w:eastAsia="黑体" w:cs="黑体"/>
          <w:b/>
          <w:color w:val="auto"/>
          <w:sz w:val="32"/>
          <w:szCs w:val="32"/>
          <w:highlight w:val="none"/>
          <w:lang w:val="en-US" w:eastAsia="zh-CN"/>
        </w:rPr>
        <w:t>敏感目标分布图</w:t>
      </w:r>
      <w:bookmarkEnd w:id="76"/>
      <w:bookmarkEnd w:id="77"/>
      <w:bookmarkEnd w:id="78"/>
      <w:bookmarkEnd w:id="79"/>
    </w:p>
    <w:p w14:paraId="06E27A5E">
      <w:pPr>
        <w:rPr>
          <w:rFonts w:hint="eastAsia" w:eastAsia="宋体"/>
          <w:lang w:eastAsia="zh-CN"/>
        </w:rPr>
      </w:pPr>
      <w:bookmarkStart w:id="80" w:name="_Toc4713"/>
      <w:r>
        <w:drawing>
          <wp:inline distT="0" distB="0" distL="114300" distR="114300">
            <wp:extent cx="8382000" cy="5200650"/>
            <wp:effectExtent l="9525" t="9525" r="9525" b="9525"/>
            <wp:docPr id="9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6"/>
                    <pic:cNvPicPr>
                      <a:picLocks noChangeAspect="1"/>
                    </pic:cNvPicPr>
                  </pic:nvPicPr>
                  <pic:blipFill>
                    <a:blip r:embed="rId61"/>
                    <a:stretch>
                      <a:fillRect/>
                    </a:stretch>
                  </pic:blipFill>
                  <pic:spPr>
                    <a:xfrm>
                      <a:off x="0" y="0"/>
                      <a:ext cx="8382000" cy="5200650"/>
                    </a:xfrm>
                    <a:prstGeom prst="rect">
                      <a:avLst/>
                    </a:prstGeom>
                    <a:noFill/>
                    <a:ln w="6350">
                      <a:solidFill>
                        <a:schemeClr val="tx1"/>
                      </a:solidFill>
                    </a:ln>
                  </pic:spPr>
                </pic:pic>
              </a:graphicData>
            </a:graphic>
          </wp:inline>
        </w:drawing>
      </w:r>
      <w:r>
        <w:rPr>
          <w:rFonts w:hint="eastAsia" w:eastAsia="宋体"/>
          <w:lang w:eastAsia="zh-CN"/>
        </w:rPr>
        <w:drawing>
          <wp:anchor distT="0" distB="0" distL="114300" distR="114300" simplePos="0" relativeHeight="251680768" behindDoc="0" locked="0" layoutInCell="1" allowOverlap="1">
            <wp:simplePos x="0" y="0"/>
            <wp:positionH relativeFrom="column">
              <wp:posOffset>6892290</wp:posOffset>
            </wp:positionH>
            <wp:positionV relativeFrom="paragraph">
              <wp:posOffset>28575</wp:posOffset>
            </wp:positionV>
            <wp:extent cx="1461135" cy="1407795"/>
            <wp:effectExtent l="0" t="0" r="5715" b="1905"/>
            <wp:wrapNone/>
            <wp:docPr id="97" name="图片 97"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图片2"/>
                    <pic:cNvPicPr>
                      <a:picLocks noChangeAspect="1"/>
                    </pic:cNvPicPr>
                  </pic:nvPicPr>
                  <pic:blipFill>
                    <a:blip r:embed="rId58"/>
                    <a:stretch>
                      <a:fillRect/>
                    </a:stretch>
                  </pic:blipFill>
                  <pic:spPr>
                    <a:xfrm>
                      <a:off x="0" y="0"/>
                      <a:ext cx="1461135" cy="1407795"/>
                    </a:xfrm>
                    <a:prstGeom prst="rect">
                      <a:avLst/>
                    </a:prstGeom>
                  </pic:spPr>
                </pic:pic>
              </a:graphicData>
            </a:graphic>
          </wp:anchor>
        </w:drawing>
      </w:r>
      <w:r>
        <w:rPr>
          <w:sz w:val="21"/>
        </w:rPr>
        <mc:AlternateContent>
          <mc:Choice Requires="wps">
            <w:drawing>
              <wp:anchor distT="0" distB="0" distL="114300" distR="114300" simplePos="0" relativeHeight="251686912" behindDoc="0" locked="0" layoutInCell="1" allowOverlap="1">
                <wp:simplePos x="0" y="0"/>
                <wp:positionH relativeFrom="column">
                  <wp:posOffset>495300</wp:posOffset>
                </wp:positionH>
                <wp:positionV relativeFrom="paragraph">
                  <wp:posOffset>4557395</wp:posOffset>
                </wp:positionV>
                <wp:extent cx="168275" cy="109855"/>
                <wp:effectExtent l="12700" t="12700" r="28575" b="29845"/>
                <wp:wrapNone/>
                <wp:docPr id="10" name="矩形 10"/>
                <wp:cNvGraphicFramePr/>
                <a:graphic xmlns:a="http://schemas.openxmlformats.org/drawingml/2006/main">
                  <a:graphicData uri="http://schemas.microsoft.com/office/word/2010/wordprocessingShape">
                    <wps:wsp>
                      <wps:cNvSpPr/>
                      <wps:spPr>
                        <a:xfrm>
                          <a:off x="1575435" y="5457190"/>
                          <a:ext cx="168275" cy="10985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9pt;margin-top:358.85pt;height:8.65pt;width:13.25pt;z-index:251686912;v-text-anchor:middle;mso-width-relative:page;mso-height-relative:page;" filled="f" stroked="t" coordsize="21600,21600" o:gfxdata="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B/qDzPZAAAACgEAAA8AAAAAAAAAAQAgAAAAIgAAAGRycy9kb3ducmV2LnhtbFBL&#10;AQIUABQAAAAIAIdO4kC1uzM/ZwIAAMEEAAAOAAAAAAAAAAEAIAAAACgBAABkcnMvZTJvRG9jLnht&#10;bFBLBQYAAAAABgAGAFkBAAABBgAAAAA=&#10;">
                <v:fill on="f" focussize="0,0"/>
                <v:stroke weight="2pt" color="#000000 [3213]" joinstyle="round"/>
                <v:imagedata o:title=""/>
                <o:lock v:ext="edit" aspectratio="f"/>
              </v:rect>
            </w:pict>
          </mc:Fallback>
        </mc:AlternateContent>
      </w:r>
      <w:r>
        <w:rPr>
          <w:sz w:val="21"/>
        </w:rPr>
        <mc:AlternateContent>
          <mc:Choice Requires="wps">
            <w:drawing>
              <wp:anchor distT="0" distB="0" distL="114300" distR="114300" simplePos="0" relativeHeight="251685888" behindDoc="0" locked="0" layoutInCell="1" allowOverlap="1">
                <wp:simplePos x="0" y="0"/>
                <wp:positionH relativeFrom="column">
                  <wp:posOffset>663575</wp:posOffset>
                </wp:positionH>
                <wp:positionV relativeFrom="paragraph">
                  <wp:posOffset>4755515</wp:posOffset>
                </wp:positionV>
                <wp:extent cx="75565" cy="75565"/>
                <wp:effectExtent l="12700" t="12700" r="26035" b="26035"/>
                <wp:wrapNone/>
                <wp:docPr id="9" name="椭圆 9"/>
                <wp:cNvGraphicFramePr/>
                <a:graphic xmlns:a="http://schemas.openxmlformats.org/drawingml/2006/main">
                  <a:graphicData uri="http://schemas.microsoft.com/office/word/2010/wordprocessingShape">
                    <wps:wsp>
                      <wps:cNvSpPr/>
                      <wps:spPr>
                        <a:xfrm>
                          <a:off x="1758315" y="5618480"/>
                          <a:ext cx="75565" cy="75565"/>
                        </a:xfrm>
                        <a:prstGeom prst="ellipse">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2.25pt;margin-top:374.45pt;height:5.95pt;width:5.95pt;z-index:251685888;v-text-anchor:middle;mso-width-relative:page;mso-height-relative:page;" fillcolor="#4F81BD [3204]" filled="t" stroked="t" coordsize="21600,21600" o:gfxdata="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MqbY3HaAAAACwEAAA8AAAAAAAAAAQAgAAAAIgAAAGRycy9kb3ducmV2&#10;LnhtbFBLAQIUABQAAAAIAIdO4kCHKo3SbAIAAOkEAAAOAAAAAAAAAAEAIAAAACkBAABkcnMvZTJv&#10;RG9jLnhtbFBLBQYAAAAABgAGAFkBAAAHBgAAAAA=&#10;">
                <v:fill on="t" focussize="0,0"/>
                <v:stroke weight="2pt" color="#4F81BD [3204]" joinstyle="round"/>
                <v:imagedata o:title=""/>
                <o:lock v:ext="edit" aspectratio="f"/>
              </v:shape>
            </w:pict>
          </mc:Fallback>
        </mc:AlternateContent>
      </w:r>
      <w:r>
        <w:drawing>
          <wp:anchor distT="0" distB="0" distL="114300" distR="114300" simplePos="0" relativeHeight="251684864" behindDoc="0" locked="0" layoutInCell="1" allowOverlap="1">
            <wp:simplePos x="0" y="0"/>
            <wp:positionH relativeFrom="column">
              <wp:posOffset>695325</wp:posOffset>
            </wp:positionH>
            <wp:positionV relativeFrom="paragraph">
              <wp:posOffset>4830445</wp:posOffset>
            </wp:positionV>
            <wp:extent cx="450215" cy="336550"/>
            <wp:effectExtent l="0" t="0" r="6985" b="6350"/>
            <wp:wrapNone/>
            <wp:docPr id="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7"/>
                    <pic:cNvPicPr>
                      <a:picLocks noChangeAspect="1"/>
                    </pic:cNvPicPr>
                  </pic:nvPicPr>
                  <pic:blipFill>
                    <a:blip r:embed="rId62"/>
                    <a:srcRect l="20085" t="11694" r="6557" b="10313"/>
                    <a:stretch>
                      <a:fillRect/>
                    </a:stretch>
                  </pic:blipFill>
                  <pic:spPr>
                    <a:xfrm>
                      <a:off x="0" y="0"/>
                      <a:ext cx="450215" cy="336550"/>
                    </a:xfrm>
                    <a:prstGeom prst="rect">
                      <a:avLst/>
                    </a:prstGeom>
                    <a:noFill/>
                    <a:ln>
                      <a:noFill/>
                    </a:ln>
                  </pic:spPr>
                </pic:pic>
              </a:graphicData>
            </a:graphic>
          </wp:anchor>
        </w:drawing>
      </w:r>
      <w:r>
        <w:rPr>
          <w:sz w:val="21"/>
        </w:rPr>
        <mc:AlternateContent>
          <mc:Choice Requires="wps">
            <w:drawing>
              <wp:anchor distT="0" distB="0" distL="114300" distR="114300" simplePos="0" relativeHeight="251683840" behindDoc="0" locked="0" layoutInCell="1" allowOverlap="1">
                <wp:simplePos x="0" y="0"/>
                <wp:positionH relativeFrom="column">
                  <wp:posOffset>46990</wp:posOffset>
                </wp:positionH>
                <wp:positionV relativeFrom="paragraph">
                  <wp:posOffset>4291330</wp:posOffset>
                </wp:positionV>
                <wp:extent cx="1381125" cy="897890"/>
                <wp:effectExtent l="4445" t="4445" r="5080" b="12065"/>
                <wp:wrapNone/>
                <wp:docPr id="100" name="文本框 100"/>
                <wp:cNvGraphicFramePr/>
                <a:graphic xmlns:a="http://schemas.openxmlformats.org/drawingml/2006/main">
                  <a:graphicData uri="http://schemas.microsoft.com/office/word/2010/wordprocessingShape">
                    <wps:wsp>
                      <wps:cNvSpPr txBox="1"/>
                      <wps:spPr>
                        <a:xfrm>
                          <a:off x="1222375" y="5212715"/>
                          <a:ext cx="1381125" cy="89789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41DEB9D">
                            <w:pPr>
                              <w:rPr>
                                <w:rFonts w:hint="eastAsia"/>
                                <w:lang w:val="en-US" w:eastAsia="zh-CN"/>
                              </w:rPr>
                            </w:pPr>
                            <w:r>
                              <w:rPr>
                                <w:rFonts w:hint="eastAsia"/>
                                <w:lang w:val="en-US" w:eastAsia="zh-CN"/>
                              </w:rPr>
                              <w:t>图例</w:t>
                            </w:r>
                          </w:p>
                          <w:p w14:paraId="21A75A19">
                            <w:pPr>
                              <w:rPr>
                                <w:rFonts w:hint="eastAsia"/>
                                <w:lang w:val="en-US" w:eastAsia="zh-CN"/>
                              </w:rPr>
                            </w:pPr>
                            <w:r>
                              <w:rPr>
                                <w:rFonts w:hint="eastAsia"/>
                                <w:lang w:val="en-US" w:eastAsia="zh-CN"/>
                              </w:rPr>
                              <w:t>厂界</w:t>
                            </w:r>
                          </w:p>
                          <w:p w14:paraId="116846D1">
                            <w:pPr>
                              <w:rPr>
                                <w:rFonts w:hint="default"/>
                                <w:lang w:val="en-US" w:eastAsia="zh-CN"/>
                              </w:rPr>
                            </w:pPr>
                            <w:r>
                              <w:rPr>
                                <w:rFonts w:hint="eastAsia"/>
                                <w:lang w:val="en-US" w:eastAsia="zh-CN"/>
                              </w:rPr>
                              <w:t>排气筒</w:t>
                            </w:r>
                          </w:p>
                          <w:p w14:paraId="100062E2">
                            <w:pPr>
                              <w:rPr>
                                <w:rFonts w:hint="default"/>
                                <w:lang w:val="en-US" w:eastAsia="zh-CN"/>
                              </w:rPr>
                            </w:pPr>
                            <w:r>
                              <w:rPr>
                                <w:rFonts w:hint="eastAsia"/>
                                <w:lang w:val="en-US" w:eastAsia="zh-CN"/>
                              </w:rPr>
                              <w:t>比例尺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pt;margin-top:337.9pt;height:70.7pt;width:108.75pt;z-index:251683840;mso-width-relative:page;mso-height-relative:page;" fillcolor="#FFFFFF [3201]" filled="t" stroked="t" coordsize="21600,21600" o:gfxdata="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VciNL1wAAAAkBAAAPAAAAAAAAAAEAIAAAACIAAABkcnMvZG93bnJldi54bWxQSwEC&#10;FAAUAAAACACHTuJA1FbJYGcCAADHBAAADgAAAAAAAAABACAAAAAmAQAAZHJzL2Uyb0RvYy54bWxQ&#10;SwUGAAAAAAYABgBZAQAA/wUAAAAA&#10;">
                <v:fill on="t" focussize="0,0"/>
                <v:stroke weight="0.5pt" color="#000000 [3204]" joinstyle="round"/>
                <v:imagedata o:title=""/>
                <o:lock v:ext="edit" aspectratio="f"/>
                <v:textbox>
                  <w:txbxContent>
                    <w:p w14:paraId="341DEB9D">
                      <w:pPr>
                        <w:rPr>
                          <w:rFonts w:hint="eastAsia"/>
                          <w:lang w:val="en-US" w:eastAsia="zh-CN"/>
                        </w:rPr>
                      </w:pPr>
                      <w:r>
                        <w:rPr>
                          <w:rFonts w:hint="eastAsia"/>
                          <w:lang w:val="en-US" w:eastAsia="zh-CN"/>
                        </w:rPr>
                        <w:t>图例</w:t>
                      </w:r>
                    </w:p>
                    <w:p w14:paraId="21A75A19">
                      <w:pPr>
                        <w:rPr>
                          <w:rFonts w:hint="eastAsia"/>
                          <w:lang w:val="en-US" w:eastAsia="zh-CN"/>
                        </w:rPr>
                      </w:pPr>
                      <w:r>
                        <w:rPr>
                          <w:rFonts w:hint="eastAsia"/>
                          <w:lang w:val="en-US" w:eastAsia="zh-CN"/>
                        </w:rPr>
                        <w:t>厂界</w:t>
                      </w:r>
                    </w:p>
                    <w:p w14:paraId="116846D1">
                      <w:pPr>
                        <w:rPr>
                          <w:rFonts w:hint="default"/>
                          <w:lang w:val="en-US" w:eastAsia="zh-CN"/>
                        </w:rPr>
                      </w:pPr>
                      <w:r>
                        <w:rPr>
                          <w:rFonts w:hint="eastAsia"/>
                          <w:lang w:val="en-US" w:eastAsia="zh-CN"/>
                        </w:rPr>
                        <w:t>排气筒</w:t>
                      </w:r>
                    </w:p>
                    <w:p w14:paraId="100062E2">
                      <w:pPr>
                        <w:rPr>
                          <w:rFonts w:hint="default"/>
                          <w:lang w:val="en-US" w:eastAsia="zh-CN"/>
                        </w:rPr>
                      </w:pPr>
                      <w:r>
                        <w:rPr>
                          <w:rFonts w:hint="eastAsia"/>
                          <w:lang w:val="en-US" w:eastAsia="zh-CN"/>
                        </w:rPr>
                        <w:t>比例尺</w:t>
                      </w:r>
                    </w:p>
                  </w:txbxContent>
                </v:textbox>
              </v:shape>
            </w:pict>
          </mc:Fallback>
        </mc:AlternateContent>
      </w:r>
    </w:p>
    <w:p w14:paraId="019BFF05">
      <w:pPr>
        <w:keepNext/>
        <w:adjustRightInd w:val="0"/>
        <w:snapToGrid w:val="0"/>
        <w:spacing w:line="500" w:lineRule="exact"/>
        <w:jc w:val="center"/>
        <w:outlineLvl w:val="0"/>
        <w:rPr>
          <w:rFonts w:hint="default" w:ascii="Times New Roman" w:hAnsi="Times New Roman" w:eastAsia="宋体" w:cs="Times New Roman"/>
          <w:b/>
          <w:color w:val="auto"/>
          <w:sz w:val="24"/>
          <w:highlight w:val="none"/>
          <w:lang w:val="en-US" w:eastAsia="zh-CN"/>
        </w:rPr>
      </w:pPr>
      <w:r>
        <w:rPr>
          <w:rFonts w:hint="default" w:ascii="黑体" w:hAnsi="黑体" w:eastAsia="黑体" w:cs="黑体"/>
          <w:b/>
          <w:color w:val="auto"/>
          <w:sz w:val="32"/>
          <w:szCs w:val="32"/>
          <w:highlight w:val="none"/>
          <w:lang w:val="en-US" w:eastAsia="zh-CN"/>
        </w:rPr>
        <w:t>附图</w:t>
      </w:r>
      <w:r>
        <w:rPr>
          <w:rFonts w:hint="eastAsia" w:ascii="黑体" w:hAnsi="黑体" w:eastAsia="黑体" w:cs="黑体"/>
          <w:b/>
          <w:color w:val="auto"/>
          <w:sz w:val="32"/>
          <w:szCs w:val="32"/>
          <w:highlight w:val="none"/>
          <w:lang w:val="en-US" w:eastAsia="zh-CN"/>
        </w:rPr>
        <w:t>3</w:t>
      </w:r>
      <w:r>
        <w:rPr>
          <w:rFonts w:hint="default" w:ascii="黑体" w:hAnsi="黑体" w:eastAsia="黑体" w:cs="黑体"/>
          <w:b/>
          <w:color w:val="auto"/>
          <w:sz w:val="32"/>
          <w:szCs w:val="32"/>
          <w:highlight w:val="none"/>
          <w:lang w:val="en-US" w:eastAsia="zh-CN"/>
        </w:rPr>
        <w:t xml:space="preserve"> </w:t>
      </w:r>
      <w:r>
        <w:rPr>
          <w:rFonts w:hint="eastAsia" w:ascii="黑体" w:hAnsi="黑体" w:eastAsia="黑体" w:cs="黑体"/>
          <w:b/>
          <w:color w:val="auto"/>
          <w:sz w:val="32"/>
          <w:szCs w:val="32"/>
          <w:highlight w:val="none"/>
          <w:lang w:val="en-US" w:eastAsia="zh-CN"/>
        </w:rPr>
        <w:t>厂区平面布置图</w:t>
      </w:r>
      <w:r>
        <w:rPr>
          <w:rFonts w:hint="default" w:ascii="Times New Roman" w:hAnsi="Times New Roman" w:eastAsia="宋体" w:cs="Times New Roman"/>
          <w:b/>
          <w:color w:val="auto"/>
          <w:sz w:val="24"/>
          <w:highlight w:val="none"/>
          <w:lang w:val="en-US" w:eastAsia="zh-CN"/>
        </w:rPr>
        <w:br w:type="page"/>
      </w:r>
    </w:p>
    <w:tbl>
      <w:tblPr>
        <w:tblStyle w:val="4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841"/>
        <w:gridCol w:w="6811"/>
      </w:tblGrid>
      <w:tr w14:paraId="1D16D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841" w:type="dxa"/>
            <w:tcBorders>
              <w:tl2br w:val="nil"/>
              <w:tr2bl w:val="nil"/>
            </w:tcBorders>
            <w:vAlign w:val="top"/>
          </w:tcPr>
          <w:p w14:paraId="41860125">
            <w:pPr>
              <w:rPr>
                <w:rFonts w:hint="default"/>
                <w:lang w:val="en-US" w:eastAsia="zh-CN"/>
              </w:rPr>
            </w:pPr>
            <w:r>
              <w:rPr>
                <w:rFonts w:hint="default"/>
                <w:lang w:val="en-US" w:eastAsia="zh-CN"/>
              </w:rPr>
              <w:drawing>
                <wp:inline distT="0" distB="0" distL="114300" distR="114300">
                  <wp:extent cx="2347595" cy="4171950"/>
                  <wp:effectExtent l="0" t="0" r="0" b="14605"/>
                  <wp:docPr id="77" name="图片 77" descr="微信图片_20251013095103_284_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微信图片_20251013095103_284_61"/>
                          <pic:cNvPicPr>
                            <a:picLocks noChangeAspect="1"/>
                          </pic:cNvPicPr>
                        </pic:nvPicPr>
                        <pic:blipFill>
                          <a:blip r:embed="rId63"/>
                          <a:srcRect l="26048" t="800" r="32084"/>
                          <a:stretch>
                            <a:fillRect/>
                          </a:stretch>
                        </pic:blipFill>
                        <pic:spPr>
                          <a:xfrm rot="5400000">
                            <a:off x="0" y="0"/>
                            <a:ext cx="2347595" cy="4171950"/>
                          </a:xfrm>
                          <a:prstGeom prst="rect">
                            <a:avLst/>
                          </a:prstGeom>
                        </pic:spPr>
                      </pic:pic>
                    </a:graphicData>
                  </a:graphic>
                </wp:inline>
              </w:drawing>
            </w:r>
          </w:p>
          <w:p w14:paraId="298CA012">
            <w:pPr>
              <w:pStyle w:val="39"/>
              <w:jc w:val="center"/>
              <w:rPr>
                <w:rFonts w:hint="default"/>
                <w:lang w:val="en-US" w:eastAsia="zh-CN"/>
              </w:rPr>
            </w:pPr>
            <w:r>
              <w:rPr>
                <w:rFonts w:hint="eastAsia"/>
                <w:lang w:val="en-US" w:eastAsia="zh-CN"/>
              </w:rPr>
              <w:t>西侧为空地</w:t>
            </w:r>
          </w:p>
        </w:tc>
        <w:tc>
          <w:tcPr>
            <w:tcW w:w="6811" w:type="dxa"/>
            <w:tcBorders>
              <w:tl2br w:val="nil"/>
              <w:tr2bl w:val="nil"/>
            </w:tcBorders>
            <w:vAlign w:val="top"/>
          </w:tcPr>
          <w:p w14:paraId="07EB5C2A">
            <w:pPr>
              <w:rPr>
                <w:rFonts w:hint="default"/>
                <w:lang w:val="en-US" w:eastAsia="zh-CN"/>
              </w:rPr>
            </w:pPr>
            <w:r>
              <w:rPr>
                <w:rFonts w:hint="default"/>
                <w:lang w:val="en-US" w:eastAsia="zh-CN"/>
              </w:rPr>
              <w:drawing>
                <wp:inline distT="0" distB="0" distL="114300" distR="114300">
                  <wp:extent cx="4173855" cy="2379980"/>
                  <wp:effectExtent l="0" t="0" r="17145" b="1270"/>
                  <wp:docPr id="71" name="图片 71" descr="微信图片_20251013095129_288_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微信图片_20251013095129_288_61"/>
                          <pic:cNvPicPr>
                            <a:picLocks noChangeAspect="1"/>
                          </pic:cNvPicPr>
                        </pic:nvPicPr>
                        <pic:blipFill>
                          <a:blip r:embed="rId64"/>
                          <a:srcRect l="3296" t="28244" b="30406"/>
                          <a:stretch>
                            <a:fillRect/>
                          </a:stretch>
                        </pic:blipFill>
                        <pic:spPr>
                          <a:xfrm>
                            <a:off x="0" y="0"/>
                            <a:ext cx="4173855" cy="2379980"/>
                          </a:xfrm>
                          <a:prstGeom prst="rect">
                            <a:avLst/>
                          </a:prstGeom>
                        </pic:spPr>
                      </pic:pic>
                    </a:graphicData>
                  </a:graphic>
                </wp:inline>
              </w:drawing>
            </w:r>
          </w:p>
          <w:p w14:paraId="417B4578">
            <w:pPr>
              <w:pStyle w:val="39"/>
              <w:jc w:val="center"/>
              <w:rPr>
                <w:rFonts w:hint="default"/>
                <w:lang w:val="en-US" w:eastAsia="zh-CN"/>
              </w:rPr>
            </w:pPr>
            <w:r>
              <w:rPr>
                <w:rFonts w:hint="eastAsia"/>
                <w:lang w:val="en-US" w:eastAsia="zh-CN"/>
              </w:rPr>
              <w:t>北侧为铁力农资农机种子综合大市场</w:t>
            </w:r>
          </w:p>
        </w:tc>
      </w:tr>
      <w:tr w14:paraId="10F47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8" w:hRule="atLeast"/>
        </w:trPr>
        <w:tc>
          <w:tcPr>
            <w:tcW w:w="6841" w:type="dxa"/>
            <w:tcBorders>
              <w:tl2br w:val="nil"/>
              <w:tr2bl w:val="nil"/>
            </w:tcBorders>
            <w:vAlign w:val="top"/>
          </w:tcPr>
          <w:p w14:paraId="431E4563">
            <w:pPr>
              <w:rPr>
                <w:rFonts w:hint="default"/>
                <w:lang w:val="en-US" w:eastAsia="zh-CN"/>
              </w:rPr>
            </w:pPr>
            <w:r>
              <w:rPr>
                <w:rFonts w:hint="default"/>
                <w:lang w:val="en-US" w:eastAsia="zh-CN"/>
              </w:rPr>
              <w:drawing>
                <wp:inline distT="0" distB="0" distL="114300" distR="114300">
                  <wp:extent cx="2313305" cy="4203700"/>
                  <wp:effectExtent l="0" t="0" r="6350" b="10795"/>
                  <wp:docPr id="73" name="图片 73" descr="微信图片_20251013095024_277_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微信图片_20251013095024_277_61"/>
                          <pic:cNvPicPr>
                            <a:picLocks noChangeAspect="1"/>
                          </pic:cNvPicPr>
                        </pic:nvPicPr>
                        <pic:blipFill>
                          <a:blip r:embed="rId65"/>
                          <a:srcRect l="11633" r="14320" b="-899"/>
                          <a:stretch>
                            <a:fillRect/>
                          </a:stretch>
                        </pic:blipFill>
                        <pic:spPr>
                          <a:xfrm rot="16200000">
                            <a:off x="0" y="0"/>
                            <a:ext cx="2313305" cy="4203700"/>
                          </a:xfrm>
                          <a:prstGeom prst="rect">
                            <a:avLst/>
                          </a:prstGeom>
                        </pic:spPr>
                      </pic:pic>
                    </a:graphicData>
                  </a:graphic>
                </wp:inline>
              </w:drawing>
            </w:r>
          </w:p>
          <w:p w14:paraId="47BA9A3A">
            <w:pPr>
              <w:pStyle w:val="39"/>
              <w:jc w:val="center"/>
              <w:rPr>
                <w:rFonts w:hint="default"/>
                <w:lang w:val="en-US" w:eastAsia="zh-CN"/>
              </w:rPr>
            </w:pPr>
            <w:r>
              <w:rPr>
                <w:rFonts w:hint="eastAsia"/>
                <w:lang w:val="en-US" w:eastAsia="zh-CN"/>
              </w:rPr>
              <w:t>东侧为农机存放场地</w:t>
            </w:r>
          </w:p>
        </w:tc>
        <w:tc>
          <w:tcPr>
            <w:tcW w:w="6811" w:type="dxa"/>
            <w:tcBorders>
              <w:tl2br w:val="nil"/>
              <w:tr2bl w:val="nil"/>
            </w:tcBorders>
            <w:vAlign w:val="top"/>
          </w:tcPr>
          <w:p w14:paraId="4C16F971">
            <w:pPr>
              <w:rPr>
                <w:rFonts w:hint="default"/>
                <w:lang w:val="en-US" w:eastAsia="zh-CN"/>
              </w:rPr>
            </w:pPr>
            <w:r>
              <w:rPr>
                <w:rFonts w:hint="default"/>
                <w:lang w:val="en-US" w:eastAsia="zh-CN"/>
              </w:rPr>
              <w:drawing>
                <wp:inline distT="0" distB="0" distL="114300" distR="114300">
                  <wp:extent cx="2305685" cy="4150995"/>
                  <wp:effectExtent l="0" t="0" r="1905" b="18415"/>
                  <wp:docPr id="75" name="图片 75" descr="微信图片_20251013094942_276_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微信图片_20251013094942_276_61"/>
                          <pic:cNvPicPr>
                            <a:picLocks noChangeAspect="1"/>
                          </pic:cNvPicPr>
                        </pic:nvPicPr>
                        <pic:blipFill>
                          <a:blip r:embed="rId66"/>
                          <a:srcRect l="26955" r="31362"/>
                          <a:stretch>
                            <a:fillRect/>
                          </a:stretch>
                        </pic:blipFill>
                        <pic:spPr>
                          <a:xfrm rot="5400000">
                            <a:off x="0" y="0"/>
                            <a:ext cx="2305685" cy="4150995"/>
                          </a:xfrm>
                          <a:prstGeom prst="rect">
                            <a:avLst/>
                          </a:prstGeom>
                        </pic:spPr>
                      </pic:pic>
                    </a:graphicData>
                  </a:graphic>
                </wp:inline>
              </w:drawing>
            </w:r>
          </w:p>
          <w:p w14:paraId="27C9E90B">
            <w:pPr>
              <w:pStyle w:val="39"/>
              <w:jc w:val="center"/>
              <w:rPr>
                <w:rFonts w:hint="default"/>
                <w:lang w:val="en-US" w:eastAsia="zh-CN"/>
              </w:rPr>
            </w:pPr>
            <w:r>
              <w:rPr>
                <w:rFonts w:hint="eastAsia"/>
                <w:lang w:val="en-US" w:eastAsia="zh-CN"/>
              </w:rPr>
              <w:t>南侧为村路，隔路为空地</w:t>
            </w:r>
          </w:p>
        </w:tc>
      </w:tr>
    </w:tbl>
    <w:p w14:paraId="6F17845A">
      <w:pPr>
        <w:keepNext/>
        <w:adjustRightInd w:val="0"/>
        <w:snapToGrid w:val="0"/>
        <w:spacing w:line="500" w:lineRule="exact"/>
        <w:jc w:val="center"/>
        <w:outlineLvl w:val="0"/>
        <w:rPr>
          <w:rFonts w:hint="default" w:ascii="Times New Roman" w:hAnsi="Times New Roman" w:cs="Times New Roman"/>
          <w:color w:val="auto"/>
          <w:highlight w:val="none"/>
        </w:rPr>
        <w:sectPr>
          <w:pgSz w:w="16838" w:h="11906" w:orient="landscape"/>
          <w:pgMar w:top="1417" w:right="1701" w:bottom="1417" w:left="1701" w:header="851" w:footer="850" w:gutter="0"/>
          <w:pgBorders>
            <w:top w:val="none" w:sz="0" w:space="0"/>
            <w:left w:val="none" w:sz="0" w:space="0"/>
            <w:bottom w:val="none" w:sz="0" w:space="0"/>
            <w:right w:val="none" w:sz="0" w:space="0"/>
          </w:pgBorders>
          <w:pgNumType w:fmt="decimal"/>
          <w:cols w:space="720" w:num="1"/>
          <w:rtlGutter w:val="0"/>
          <w:docGrid w:linePitch="312" w:charSpace="0"/>
        </w:sectPr>
      </w:pPr>
      <w:r>
        <w:rPr>
          <w:rFonts w:hint="eastAsia" w:ascii="黑体" w:hAnsi="黑体" w:eastAsia="黑体" w:cs="黑体"/>
          <w:b/>
          <w:color w:val="auto"/>
          <w:sz w:val="32"/>
          <w:szCs w:val="32"/>
          <w:highlight w:val="none"/>
          <w:lang w:val="en-US" w:eastAsia="zh-CN"/>
        </w:rPr>
        <w:t>附图4周边环境现场照片</w:t>
      </w:r>
    </w:p>
    <w:bookmarkEnd w:id="80"/>
    <w:p w14:paraId="7F8B432D">
      <w:pPr>
        <w:keepNext/>
        <w:adjustRightInd w:val="0"/>
        <w:snapToGrid w:val="0"/>
        <w:spacing w:line="500" w:lineRule="exact"/>
        <w:outlineLvl w:val="0"/>
        <w:rPr>
          <w:rFonts w:hint="eastAsia" w:ascii="黑体" w:hAnsi="黑体" w:eastAsia="黑体" w:cs="黑体"/>
          <w:b/>
          <w:color w:val="auto"/>
          <w:sz w:val="32"/>
          <w:szCs w:val="32"/>
          <w:highlight w:val="none"/>
          <w:lang w:val="en-US" w:eastAsia="zh-CN"/>
        </w:rPr>
      </w:pPr>
      <w:bookmarkStart w:id="81" w:name="_Toc29364"/>
      <w:bookmarkStart w:id="82" w:name="_Toc1481"/>
      <w:bookmarkStart w:id="83" w:name="_Toc82778289"/>
      <w:bookmarkStart w:id="84" w:name="_Toc3571"/>
      <w:r>
        <w:rPr>
          <w:rFonts w:hint="eastAsia" w:ascii="黑体" w:hAnsi="黑体" w:eastAsia="黑体" w:cs="黑体"/>
          <w:b/>
          <w:color w:val="auto"/>
          <w:sz w:val="32"/>
          <w:szCs w:val="32"/>
          <w:highlight w:val="none"/>
        </w:rPr>
        <w:t xml:space="preserve">附件1 </w:t>
      </w:r>
      <w:bookmarkEnd w:id="81"/>
      <w:bookmarkEnd w:id="82"/>
      <w:bookmarkEnd w:id="83"/>
      <w:r>
        <w:rPr>
          <w:rFonts w:hint="eastAsia" w:ascii="黑体" w:hAnsi="黑体" w:eastAsia="黑体" w:cs="黑体"/>
          <w:b/>
          <w:color w:val="auto"/>
          <w:sz w:val="32"/>
          <w:szCs w:val="32"/>
          <w:highlight w:val="none"/>
          <w:lang w:val="en-US" w:eastAsia="zh-CN"/>
        </w:rPr>
        <w:t>营业执照</w:t>
      </w:r>
      <w:bookmarkEnd w:id="84"/>
    </w:p>
    <w:p w14:paraId="6EF0D2A6">
      <w:pPr>
        <w:bidi w:val="0"/>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drawing>
          <wp:inline distT="0" distB="0" distL="114300" distR="114300">
            <wp:extent cx="7240905" cy="5011420"/>
            <wp:effectExtent l="0" t="0" r="17145" b="17780"/>
            <wp:docPr id="37" name="图片 37" descr="微信图片_20251015100335_299_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微信图片_20251015100335_299_61"/>
                    <pic:cNvPicPr>
                      <a:picLocks noChangeAspect="1"/>
                    </pic:cNvPicPr>
                  </pic:nvPicPr>
                  <pic:blipFill>
                    <a:blip r:embed="rId67"/>
                    <a:srcRect l="2608" t="4136" r="518" b="6436"/>
                    <a:stretch>
                      <a:fillRect/>
                    </a:stretch>
                  </pic:blipFill>
                  <pic:spPr>
                    <a:xfrm>
                      <a:off x="0" y="0"/>
                      <a:ext cx="7240905" cy="5011420"/>
                    </a:xfrm>
                    <a:prstGeom prst="rect">
                      <a:avLst/>
                    </a:prstGeom>
                  </pic:spPr>
                </pic:pic>
              </a:graphicData>
            </a:graphic>
          </wp:inline>
        </w:drawing>
      </w:r>
    </w:p>
    <w:p w14:paraId="1D27A213">
      <w:pPr>
        <w:bidi w:val="0"/>
        <w:rPr>
          <w:rFonts w:hint="default" w:ascii="Times New Roman" w:hAnsi="Times New Roman" w:cs="Times New Roman"/>
          <w:color w:val="auto"/>
          <w:highlight w:val="none"/>
        </w:rPr>
        <w:sectPr>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4F89733E">
      <w:pPr>
        <w:keepNext/>
        <w:adjustRightInd w:val="0"/>
        <w:snapToGrid w:val="0"/>
        <w:spacing w:line="500" w:lineRule="exact"/>
        <w:outlineLvl w:val="0"/>
        <w:rPr>
          <w:rFonts w:hint="default" w:ascii="黑体" w:hAnsi="黑体" w:eastAsia="黑体" w:cs="黑体"/>
          <w:b/>
          <w:color w:val="auto"/>
          <w:sz w:val="32"/>
          <w:szCs w:val="32"/>
          <w:highlight w:val="none"/>
          <w:lang w:val="en-US" w:eastAsia="zh-CN"/>
        </w:rPr>
      </w:pPr>
      <w:bookmarkStart w:id="85" w:name="_Toc1932"/>
      <w:r>
        <w:rPr>
          <w:rFonts w:hint="default" w:ascii="黑体" w:hAnsi="黑体" w:eastAsia="黑体" w:cs="黑体"/>
          <w:b/>
          <w:color w:val="auto"/>
          <w:sz w:val="32"/>
          <w:szCs w:val="32"/>
          <w:highlight w:val="none"/>
        </w:rPr>
        <w:t>附件</w:t>
      </w:r>
      <w:r>
        <w:rPr>
          <w:rFonts w:hint="default" w:ascii="黑体" w:hAnsi="黑体" w:eastAsia="黑体" w:cs="黑体"/>
          <w:b/>
          <w:color w:val="auto"/>
          <w:sz w:val="32"/>
          <w:szCs w:val="32"/>
          <w:highlight w:val="none"/>
          <w:lang w:val="en-US" w:eastAsia="zh-CN"/>
        </w:rPr>
        <w:t>2</w:t>
      </w:r>
      <w:r>
        <w:rPr>
          <w:rFonts w:hint="default" w:ascii="黑体" w:hAnsi="黑体" w:eastAsia="黑体" w:cs="黑体"/>
          <w:b/>
          <w:color w:val="auto"/>
          <w:sz w:val="32"/>
          <w:szCs w:val="32"/>
          <w:highlight w:val="none"/>
        </w:rPr>
        <w:t xml:space="preserve"> </w:t>
      </w:r>
      <w:r>
        <w:rPr>
          <w:rFonts w:hint="default" w:ascii="黑体" w:hAnsi="黑体" w:eastAsia="黑体" w:cs="黑体"/>
          <w:b/>
          <w:color w:val="auto"/>
          <w:sz w:val="32"/>
          <w:szCs w:val="32"/>
          <w:highlight w:val="none"/>
          <w:lang w:val="en-US" w:eastAsia="zh-CN"/>
        </w:rPr>
        <w:t>土地手续</w:t>
      </w:r>
      <w:bookmarkEnd w:id="85"/>
    </w:p>
    <w:p w14:paraId="730DE8AD">
      <w:pPr>
        <w:pStyle w:val="16"/>
        <w:jc w:val="center"/>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drawing>
          <wp:inline distT="0" distB="0" distL="114300" distR="114300">
            <wp:extent cx="7245350" cy="5117465"/>
            <wp:effectExtent l="0" t="0" r="12700" b="6985"/>
            <wp:docPr id="38" name="图片 38" descr="微信图片_20251013100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微信图片_20251013100311"/>
                    <pic:cNvPicPr>
                      <a:picLocks noChangeAspect="1"/>
                    </pic:cNvPicPr>
                  </pic:nvPicPr>
                  <pic:blipFill>
                    <a:blip r:embed="rId68"/>
                    <a:stretch>
                      <a:fillRect/>
                    </a:stretch>
                  </pic:blipFill>
                  <pic:spPr>
                    <a:xfrm>
                      <a:off x="0" y="0"/>
                      <a:ext cx="7245350" cy="5117465"/>
                    </a:xfrm>
                    <a:prstGeom prst="rect">
                      <a:avLst/>
                    </a:prstGeom>
                  </pic:spPr>
                </pic:pic>
              </a:graphicData>
            </a:graphic>
          </wp:inline>
        </w:drawing>
      </w:r>
    </w:p>
    <w:p w14:paraId="2C6B0CBB">
      <w:pPr>
        <w:pStyle w:val="32"/>
        <w:rPr>
          <w:rFonts w:hint="default" w:ascii="Times New Roman" w:hAnsi="Times New Roman" w:cs="Times New Roman"/>
          <w:color w:val="auto"/>
          <w:highlight w:val="none"/>
        </w:rPr>
        <w:sectPr>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p>
    <w:bookmarkEnd w:id="71"/>
    <w:p w14:paraId="49ECB5FE">
      <w:pPr>
        <w:keepNext/>
        <w:adjustRightInd w:val="0"/>
        <w:snapToGrid w:val="0"/>
        <w:spacing w:line="500" w:lineRule="exact"/>
        <w:outlineLvl w:val="0"/>
        <w:rPr>
          <w:rFonts w:hint="default" w:ascii="黑体" w:hAnsi="黑体" w:eastAsia="黑体" w:cs="黑体"/>
          <w:b/>
          <w:color w:val="auto"/>
          <w:sz w:val="32"/>
          <w:szCs w:val="32"/>
          <w:highlight w:val="none"/>
        </w:rPr>
      </w:pPr>
      <w:bookmarkStart w:id="86" w:name="_Toc31120"/>
      <w:bookmarkStart w:id="87" w:name="_Toc16034"/>
      <w:bookmarkStart w:id="88" w:name="_Toc31335"/>
      <w:bookmarkStart w:id="89" w:name="_Toc82778292"/>
      <w:r>
        <w:rPr>
          <w:rFonts w:hint="default" w:ascii="黑体" w:hAnsi="黑体" w:eastAsia="黑体" w:cs="黑体"/>
          <w:b/>
          <w:color w:val="auto"/>
          <w:sz w:val="32"/>
          <w:szCs w:val="32"/>
          <w:highlight w:val="none"/>
          <w:lang w:val="en-US" w:eastAsia="zh-CN"/>
        </w:rPr>
        <w:t xml:space="preserve">附件3 </w:t>
      </w:r>
      <w:r>
        <w:rPr>
          <w:rFonts w:hint="default" w:ascii="黑体" w:hAnsi="黑体" w:eastAsia="黑体" w:cs="黑体"/>
          <w:b/>
          <w:color w:val="auto"/>
          <w:sz w:val="32"/>
          <w:szCs w:val="32"/>
          <w:highlight w:val="none"/>
        </w:rPr>
        <w:t>生物质</w:t>
      </w:r>
      <w:r>
        <w:rPr>
          <w:rFonts w:hint="default" w:ascii="黑体" w:hAnsi="黑体" w:eastAsia="黑体" w:cs="黑体"/>
          <w:b/>
          <w:color w:val="auto"/>
          <w:sz w:val="32"/>
          <w:szCs w:val="32"/>
          <w:highlight w:val="none"/>
          <w:lang w:val="en-US" w:eastAsia="zh-CN"/>
        </w:rPr>
        <w:t>燃料</w:t>
      </w:r>
      <w:r>
        <w:rPr>
          <w:rFonts w:hint="default" w:ascii="黑体" w:hAnsi="黑体" w:eastAsia="黑体" w:cs="黑体"/>
          <w:b/>
          <w:color w:val="auto"/>
          <w:sz w:val="32"/>
          <w:szCs w:val="32"/>
          <w:highlight w:val="none"/>
        </w:rPr>
        <w:t>成分报告</w:t>
      </w:r>
      <w:bookmarkEnd w:id="86"/>
      <w:bookmarkEnd w:id="87"/>
      <w:bookmarkEnd w:id="88"/>
    </w:p>
    <w:p w14:paraId="039D90FD">
      <w:pPr>
        <w:pStyle w:val="1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highlight w:val="none"/>
          <w:lang w:eastAsia="zh-CN"/>
        </w:rPr>
      </w:pPr>
      <w:r>
        <w:rPr>
          <w:rFonts w:hint="eastAsia"/>
        </w:rPr>
        <w:drawing>
          <wp:inline distT="0" distB="0" distL="114300" distR="114300">
            <wp:extent cx="5551170" cy="7647305"/>
            <wp:effectExtent l="0" t="0" r="11430" b="10795"/>
            <wp:docPr id="11" name="图片 11" descr="微信图片_20250821143941_51_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50821143941_51_61"/>
                    <pic:cNvPicPr>
                      <a:picLocks noChangeAspect="1"/>
                    </pic:cNvPicPr>
                  </pic:nvPicPr>
                  <pic:blipFill>
                    <a:blip r:embed="rId69"/>
                    <a:stretch>
                      <a:fillRect/>
                    </a:stretch>
                  </pic:blipFill>
                  <pic:spPr>
                    <a:xfrm>
                      <a:off x="0" y="0"/>
                      <a:ext cx="5551170" cy="7647305"/>
                    </a:xfrm>
                    <a:prstGeom prst="rect">
                      <a:avLst/>
                    </a:prstGeom>
                  </pic:spPr>
                </pic:pic>
              </a:graphicData>
            </a:graphic>
          </wp:inline>
        </w:drawing>
      </w:r>
    </w:p>
    <w:p w14:paraId="2E0E6371">
      <w:pPr>
        <w:jc w:val="center"/>
        <w:rPr>
          <w:rFonts w:hint="default" w:ascii="Times New Roman" w:hAnsi="Times New Roman" w:eastAsia="宋体" w:cs="Times New Roman"/>
          <w:color w:val="auto"/>
          <w:highlight w:val="none"/>
          <w:lang w:eastAsia="zh-CN"/>
        </w:rPr>
        <w:sectPr>
          <w:headerReference r:id="rId9" w:type="default"/>
          <w:footerReference r:id="rId10" w:type="default"/>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7775EB20">
      <w:pPr>
        <w:keepNext/>
        <w:adjustRightInd w:val="0"/>
        <w:snapToGrid w:val="0"/>
        <w:spacing w:line="500" w:lineRule="exact"/>
        <w:outlineLvl w:val="0"/>
        <w:rPr>
          <w:rFonts w:hint="default" w:ascii="黑体" w:hAnsi="黑体" w:eastAsia="黑体" w:cs="黑体"/>
          <w:b/>
          <w:color w:val="auto"/>
          <w:sz w:val="32"/>
          <w:szCs w:val="32"/>
          <w:highlight w:val="none"/>
        </w:rPr>
      </w:pPr>
      <w:bookmarkStart w:id="90" w:name="_Toc23501"/>
      <w:bookmarkStart w:id="91" w:name="_Toc890"/>
      <w:r>
        <w:rPr>
          <w:rFonts w:hint="default" w:ascii="黑体" w:hAnsi="黑体" w:eastAsia="黑体" w:cs="黑体"/>
          <w:b/>
          <w:color w:val="auto"/>
          <w:sz w:val="32"/>
          <w:szCs w:val="32"/>
          <w:highlight w:val="none"/>
        </w:rPr>
        <w:t>附件</w:t>
      </w:r>
      <w:r>
        <w:rPr>
          <w:rFonts w:hint="default" w:ascii="黑体" w:hAnsi="黑体" w:eastAsia="黑体" w:cs="黑体"/>
          <w:b/>
          <w:color w:val="auto"/>
          <w:sz w:val="32"/>
          <w:szCs w:val="32"/>
          <w:highlight w:val="none"/>
          <w:lang w:val="en-US" w:eastAsia="zh-CN"/>
        </w:rPr>
        <w:t xml:space="preserve">4 </w:t>
      </w:r>
      <w:r>
        <w:rPr>
          <w:rFonts w:hint="default" w:ascii="黑体" w:hAnsi="黑体" w:eastAsia="黑体" w:cs="黑体"/>
          <w:b/>
          <w:color w:val="auto"/>
          <w:sz w:val="32"/>
          <w:szCs w:val="32"/>
          <w:highlight w:val="none"/>
        </w:rPr>
        <w:t>煤质分析报告</w:t>
      </w:r>
      <w:bookmarkEnd w:id="90"/>
      <w:bookmarkEnd w:id="91"/>
    </w:p>
    <w:p w14:paraId="1F94E902">
      <w:pPr>
        <w:pStyle w:val="59"/>
        <w:rPr>
          <w:rFonts w:hint="default" w:ascii="Times New Roman" w:hAnsi="Times New Roman" w:cs="Times New Roman"/>
          <w:color w:val="auto"/>
          <w:highlight w:val="none"/>
          <w:lang w:eastAsia="zh-CN"/>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r>
        <w:rPr>
          <w:rFonts w:hint="default" w:ascii="Times New Roman" w:hAnsi="Times New Roman" w:cs="Times New Roman"/>
          <w:color w:val="auto"/>
          <w:sz w:val="24"/>
          <w:highlight w:val="none"/>
        </w:rPr>
        <w:drawing>
          <wp:inline distT="0" distB="0" distL="114300" distR="114300">
            <wp:extent cx="5274310" cy="7766050"/>
            <wp:effectExtent l="0" t="0" r="2540" b="6350"/>
            <wp:docPr id="8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8"/>
                    <pic:cNvPicPr>
                      <a:picLocks noChangeAspect="1"/>
                    </pic:cNvPicPr>
                  </pic:nvPicPr>
                  <pic:blipFill>
                    <a:blip r:embed="rId70"/>
                    <a:stretch>
                      <a:fillRect/>
                    </a:stretch>
                  </pic:blipFill>
                  <pic:spPr>
                    <a:xfrm>
                      <a:off x="0" y="0"/>
                      <a:ext cx="5274310" cy="7766050"/>
                    </a:xfrm>
                    <a:prstGeom prst="rect">
                      <a:avLst/>
                    </a:prstGeom>
                    <a:noFill/>
                    <a:ln>
                      <a:noFill/>
                    </a:ln>
                  </pic:spPr>
                </pic:pic>
              </a:graphicData>
            </a:graphic>
          </wp:inline>
        </w:drawing>
      </w:r>
    </w:p>
    <w:p w14:paraId="1B31719C">
      <w:pPr>
        <w:keepNext/>
        <w:adjustRightInd w:val="0"/>
        <w:snapToGrid w:val="0"/>
        <w:spacing w:line="500" w:lineRule="exact"/>
        <w:outlineLvl w:val="0"/>
        <w:rPr>
          <w:rFonts w:hint="default" w:ascii="黑体" w:hAnsi="黑体" w:eastAsia="黑体" w:cs="黑体"/>
          <w:b/>
          <w:color w:val="auto"/>
          <w:sz w:val="32"/>
          <w:szCs w:val="32"/>
          <w:highlight w:val="none"/>
        </w:rPr>
      </w:pPr>
      <w:bookmarkStart w:id="92" w:name="_Toc28549"/>
      <w:bookmarkStart w:id="93" w:name="_Toc20015"/>
      <w:bookmarkStart w:id="94" w:name="_Toc1187"/>
      <w:r>
        <w:rPr>
          <w:rFonts w:hint="default" w:ascii="黑体" w:hAnsi="黑体" w:eastAsia="黑体" w:cs="黑体"/>
          <w:b/>
          <w:color w:val="auto"/>
          <w:sz w:val="32"/>
          <w:szCs w:val="32"/>
          <w:highlight w:val="none"/>
        </w:rPr>
        <w:t>附件</w:t>
      </w:r>
      <w:bookmarkStart w:id="95" w:name="_Toc4584086"/>
      <w:bookmarkStart w:id="96" w:name="_Toc17392"/>
      <w:bookmarkStart w:id="97" w:name="_Toc11337337"/>
      <w:r>
        <w:rPr>
          <w:rFonts w:hint="default" w:ascii="黑体" w:hAnsi="黑体" w:eastAsia="黑体" w:cs="黑体"/>
          <w:b/>
          <w:color w:val="auto"/>
          <w:sz w:val="32"/>
          <w:szCs w:val="32"/>
          <w:highlight w:val="none"/>
          <w:lang w:val="en-US" w:eastAsia="zh-CN"/>
        </w:rPr>
        <w:t xml:space="preserve">5 </w:t>
      </w:r>
      <w:r>
        <w:rPr>
          <w:rFonts w:hint="default" w:ascii="黑体" w:hAnsi="黑体" w:eastAsia="黑体" w:cs="黑体"/>
          <w:b/>
          <w:color w:val="auto"/>
          <w:sz w:val="32"/>
          <w:szCs w:val="32"/>
          <w:highlight w:val="none"/>
        </w:rPr>
        <w:t>总量计算说明</w:t>
      </w:r>
      <w:bookmarkEnd w:id="92"/>
      <w:bookmarkEnd w:id="93"/>
      <w:bookmarkEnd w:id="94"/>
      <w:bookmarkEnd w:id="95"/>
      <w:bookmarkEnd w:id="96"/>
      <w:bookmarkEnd w:id="97"/>
    </w:p>
    <w:p w14:paraId="7DB56A89">
      <w:pPr>
        <w:spacing w:line="360" w:lineRule="auto"/>
        <w:rPr>
          <w:rFonts w:hint="default" w:ascii="Times New Roman" w:hAnsi="Times New Roman" w:eastAsia="宋体" w:cs="Times New Roman"/>
          <w:b/>
          <w:color w:val="auto"/>
          <w:sz w:val="21"/>
          <w:highlight w:val="none"/>
          <w:lang w:val="en-US" w:eastAsia="zh-CN"/>
        </w:rPr>
      </w:pPr>
      <w:r>
        <w:rPr>
          <w:rFonts w:hint="default" w:ascii="Times New Roman" w:hAnsi="Times New Roman" w:eastAsia="宋体" w:cs="Times New Roman"/>
          <w:b/>
          <w:color w:val="auto"/>
          <w:sz w:val="21"/>
          <w:highlight w:val="none"/>
          <w:lang w:val="en-US" w:eastAsia="zh-CN"/>
        </w:rPr>
        <w:t>一、现有工程污染物排放量计算</w:t>
      </w:r>
    </w:p>
    <w:p w14:paraId="3B8E04C1">
      <w:pPr>
        <w:pStyle w:val="54"/>
        <w:spacing w:line="360" w:lineRule="auto"/>
        <w:ind w:firstLine="420" w:firstLineChars="200"/>
        <w:rPr>
          <w:rFonts w:hint="default" w:ascii="Times New Roman" w:hAnsi="Times New Roman" w:eastAsia="宋体" w:cs="Times New Roman"/>
          <w:b w:val="0"/>
          <w:bCs/>
          <w:color w:val="auto"/>
          <w:sz w:val="21"/>
          <w:highlight w:val="none"/>
          <w:lang w:val="en-US" w:eastAsia="zh-CN"/>
        </w:rPr>
      </w:pPr>
      <w:r>
        <w:rPr>
          <w:rFonts w:hint="default" w:ascii="Times New Roman" w:hAnsi="Times New Roman" w:eastAsia="宋体" w:cs="Times New Roman"/>
          <w:b w:val="0"/>
          <w:bCs/>
          <w:color w:val="auto"/>
          <w:sz w:val="21"/>
          <w:highlight w:val="none"/>
          <w:lang w:val="en-US" w:eastAsia="zh-CN"/>
        </w:rPr>
        <w:t>1、废气</w:t>
      </w:r>
    </w:p>
    <w:p w14:paraId="17C1A353">
      <w:pPr>
        <w:pStyle w:val="105"/>
        <w:spacing w:line="360" w:lineRule="auto"/>
        <w:ind w:firstLine="480"/>
        <w:jc w:val="both"/>
        <w:rPr>
          <w:rFonts w:hint="default" w:ascii="Times New Roman" w:hAnsi="Times New Roman" w:eastAsia="宋体" w:cs="Times New Roman"/>
          <w:b/>
          <w:color w:val="auto"/>
          <w:sz w:val="21"/>
          <w:highlight w:val="none"/>
          <w:lang w:val="en-US"/>
        </w:rPr>
      </w:pPr>
      <w:r>
        <w:rPr>
          <w:rFonts w:hint="eastAsia" w:ascii="Times New Roman" w:hAnsi="Times New Roman" w:eastAsia="宋体" w:cs="宋体"/>
          <w:b w:val="0"/>
          <w:bCs w:val="0"/>
          <w:color w:val="auto"/>
          <w:sz w:val="21"/>
          <w:highlight w:val="none"/>
          <w:lang w:val="en-US" w:eastAsia="zh-CN"/>
        </w:rPr>
        <w:t>现有工程主要建设1台</w:t>
      </w:r>
      <w:r>
        <w:rPr>
          <w:rFonts w:hint="eastAsia" w:ascii="Times New Roman" w:hAnsi="Times New Roman" w:eastAsia="宋体" w:cs="宋体"/>
          <w:b w:val="0"/>
          <w:bCs w:val="0"/>
          <w:color w:val="auto"/>
          <w:kern w:val="2"/>
          <w:sz w:val="21"/>
          <w:szCs w:val="24"/>
          <w:highlight w:val="none"/>
          <w:lang w:val="en-US" w:eastAsia="zh-CN" w:bidi="ar-SA"/>
        </w:rPr>
        <w:t>2.8MW燃煤锅炉用于</w:t>
      </w:r>
      <w:r>
        <w:rPr>
          <w:rFonts w:hint="eastAsia" w:ascii="Times New Roman" w:hAnsi="Times New Roman" w:eastAsia="宋体" w:cs="宋体"/>
          <w:b w:val="0"/>
          <w:bCs/>
          <w:color w:val="auto"/>
          <w:kern w:val="2"/>
          <w:sz w:val="21"/>
          <w:szCs w:val="24"/>
          <w:highlight w:val="none"/>
          <w:lang w:val="en-US" w:eastAsia="zh-CN" w:bidi="ar-SA"/>
        </w:rPr>
        <w:t>铁力农资农机种子综合大市场供</w:t>
      </w:r>
      <w:r>
        <w:rPr>
          <w:rFonts w:hint="eastAsia" w:ascii="Times New Roman" w:hAnsi="Times New Roman" w:eastAsia="宋体" w:cs="宋体"/>
          <w:b w:val="0"/>
          <w:bCs w:val="0"/>
          <w:color w:val="auto"/>
          <w:kern w:val="2"/>
          <w:sz w:val="21"/>
          <w:szCs w:val="24"/>
          <w:highlight w:val="none"/>
          <w:lang w:val="en-US" w:eastAsia="zh-CN" w:bidi="ar-SA"/>
        </w:rPr>
        <w:t>暖，供暖面积为12000m</w:t>
      </w:r>
      <w:r>
        <w:rPr>
          <w:rFonts w:hint="eastAsia" w:ascii="Times New Roman" w:hAnsi="Times New Roman" w:eastAsia="宋体" w:cs="宋体"/>
          <w:b w:val="0"/>
          <w:bCs w:val="0"/>
          <w:color w:val="auto"/>
          <w:kern w:val="2"/>
          <w:sz w:val="21"/>
          <w:szCs w:val="24"/>
          <w:highlight w:val="none"/>
          <w:vertAlign w:val="superscript"/>
          <w:lang w:val="en-US" w:eastAsia="zh-CN" w:bidi="ar-SA"/>
        </w:rPr>
        <w:t>2</w:t>
      </w:r>
      <w:r>
        <w:rPr>
          <w:rFonts w:hint="eastAsia" w:ascii="Times New Roman" w:hAnsi="Times New Roman" w:eastAsia="宋体" w:cs="宋体"/>
          <w:b w:val="0"/>
          <w:bCs w:val="0"/>
          <w:color w:val="auto"/>
          <w:kern w:val="2"/>
          <w:sz w:val="21"/>
          <w:szCs w:val="24"/>
          <w:highlight w:val="none"/>
          <w:lang w:val="en-US" w:eastAsia="zh-CN" w:bidi="ar-SA"/>
        </w:rPr>
        <w:t>，年运营时间为180天（每天24小时），年燃煤量为400t/a。</w:t>
      </w:r>
    </w:p>
    <w:p w14:paraId="77CB8B50">
      <w:pPr>
        <w:spacing w:line="360" w:lineRule="auto"/>
        <w:jc w:val="center"/>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1"/>
          <w:highlight w:val="none"/>
        </w:rPr>
        <w:t>表1 基准烟气量取值表</w:t>
      </w:r>
    </w:p>
    <w:tbl>
      <w:tblPr>
        <w:tblStyle w:val="4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9"/>
        <w:gridCol w:w="2351"/>
        <w:gridCol w:w="1571"/>
        <w:gridCol w:w="2821"/>
        <w:gridCol w:w="1254"/>
      </w:tblGrid>
      <w:tr w14:paraId="785EE2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2750" w:type="pct"/>
            <w:gridSpan w:val="3"/>
            <w:noWrap w:val="0"/>
            <w:vAlign w:val="center"/>
          </w:tcPr>
          <w:p w14:paraId="0C902810">
            <w:pPr>
              <w:spacing w:line="0" w:lineRule="atLeast"/>
              <w:contextualSpacing/>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锅炉</w:t>
            </w:r>
          </w:p>
        </w:tc>
        <w:tc>
          <w:tcPr>
            <w:tcW w:w="1557" w:type="pct"/>
            <w:noWrap w:val="0"/>
            <w:vAlign w:val="center"/>
          </w:tcPr>
          <w:p w14:paraId="2CCB0BDF">
            <w:pPr>
              <w:spacing w:line="0" w:lineRule="atLeast"/>
              <w:contextualSpacing/>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基准烟气量</w:t>
            </w:r>
          </w:p>
        </w:tc>
        <w:tc>
          <w:tcPr>
            <w:tcW w:w="692" w:type="pct"/>
            <w:noWrap w:val="0"/>
            <w:vAlign w:val="center"/>
          </w:tcPr>
          <w:p w14:paraId="3A7B2B92">
            <w:pPr>
              <w:spacing w:line="0" w:lineRule="atLeast"/>
              <w:contextualSpacing/>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单位</w:t>
            </w:r>
          </w:p>
        </w:tc>
      </w:tr>
      <w:tr w14:paraId="49769E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585" w:type="pct"/>
            <w:vMerge w:val="restart"/>
            <w:noWrap w:val="0"/>
            <w:vAlign w:val="center"/>
          </w:tcPr>
          <w:p w14:paraId="00877BB6">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燃煤锅炉</w:t>
            </w:r>
          </w:p>
        </w:tc>
        <w:tc>
          <w:tcPr>
            <w:tcW w:w="1298" w:type="pct"/>
            <w:vMerge w:val="restart"/>
            <w:noWrap w:val="0"/>
            <w:vAlign w:val="center"/>
          </w:tcPr>
          <w:p w14:paraId="6E66770F">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w:t>
            </w:r>
            <w:r>
              <w:rPr>
                <w:rFonts w:hint="default" w:ascii="Times New Roman" w:hAnsi="Times New Roman" w:eastAsia="宋体" w:cs="Times New Roman"/>
                <w:color w:val="auto"/>
                <w:sz w:val="21"/>
                <w:szCs w:val="21"/>
                <w:highlight w:val="none"/>
                <w:vertAlign w:val="subscript"/>
              </w:rPr>
              <w:t>net，ar</w:t>
            </w:r>
            <w:r>
              <w:rPr>
                <w:rFonts w:hint="default" w:ascii="Times New Roman" w:hAnsi="Times New Roman" w:eastAsia="宋体" w:cs="Times New Roman"/>
                <w:color w:val="auto"/>
                <w:sz w:val="21"/>
                <w:szCs w:val="21"/>
                <w:highlight w:val="none"/>
              </w:rPr>
              <w:t>≥12</w:t>
            </w:r>
            <w:r>
              <w:rPr>
                <w:rFonts w:hint="eastAsia"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.54MJ/kg</w:t>
            </w:r>
          </w:p>
        </w:tc>
        <w:tc>
          <w:tcPr>
            <w:tcW w:w="866" w:type="pct"/>
            <w:noWrap w:val="0"/>
            <w:vAlign w:val="center"/>
          </w:tcPr>
          <w:p w14:paraId="33E37AB4">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daf</w:t>
            </w:r>
            <w:r>
              <w:rPr>
                <w:rFonts w:hint="default" w:ascii="Times New Roman" w:hAnsi="Times New Roman" w:eastAsia="宋体" w:cs="Times New Roman"/>
                <w:color w:val="auto"/>
                <w:sz w:val="21"/>
                <w:szCs w:val="21"/>
                <w:highlight w:val="none"/>
              </w:rPr>
              <w:t>≥15%</w:t>
            </w:r>
          </w:p>
        </w:tc>
        <w:tc>
          <w:tcPr>
            <w:tcW w:w="1557" w:type="pct"/>
            <w:noWrap w:val="0"/>
            <w:vAlign w:val="center"/>
          </w:tcPr>
          <w:p w14:paraId="095F3817">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=0.411Q</w:t>
            </w:r>
            <w:r>
              <w:rPr>
                <w:rFonts w:hint="default" w:ascii="Times New Roman" w:hAnsi="Times New Roman" w:eastAsia="宋体" w:cs="Times New Roman"/>
                <w:color w:val="auto"/>
                <w:sz w:val="21"/>
                <w:szCs w:val="21"/>
                <w:highlight w:val="none"/>
                <w:vertAlign w:val="subscript"/>
              </w:rPr>
              <w:t>net，ar</w:t>
            </w:r>
            <w:r>
              <w:rPr>
                <w:rFonts w:hint="default" w:ascii="Times New Roman" w:hAnsi="Times New Roman" w:eastAsia="宋体" w:cs="Times New Roman"/>
                <w:color w:val="auto"/>
                <w:sz w:val="21"/>
                <w:szCs w:val="21"/>
                <w:highlight w:val="none"/>
              </w:rPr>
              <w:t>+0.918</w:t>
            </w:r>
          </w:p>
        </w:tc>
        <w:tc>
          <w:tcPr>
            <w:tcW w:w="692" w:type="pct"/>
            <w:noWrap w:val="0"/>
            <w:vAlign w:val="center"/>
          </w:tcPr>
          <w:p w14:paraId="2C3B7E85">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/kg</w:t>
            </w:r>
          </w:p>
        </w:tc>
      </w:tr>
      <w:tr w14:paraId="70C6F6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585" w:type="pct"/>
            <w:vMerge w:val="continue"/>
            <w:noWrap w:val="0"/>
            <w:vAlign w:val="center"/>
          </w:tcPr>
          <w:p w14:paraId="3FD4FA38">
            <w:pPr>
              <w:spacing w:line="0" w:lineRule="atLeast"/>
              <w:contextualSpacing/>
              <w:jc w:val="center"/>
              <w:rPr>
                <w:rFonts w:hint="default" w:ascii="Times New Roman" w:hAnsi="Times New Roman" w:eastAsia="宋体" w:cs="Times New Roman"/>
                <w:color w:val="auto"/>
                <w:sz w:val="21"/>
                <w:szCs w:val="21"/>
                <w:highlight w:val="none"/>
              </w:rPr>
            </w:pPr>
          </w:p>
        </w:tc>
        <w:tc>
          <w:tcPr>
            <w:tcW w:w="1298" w:type="pct"/>
            <w:vMerge w:val="continue"/>
            <w:noWrap w:val="0"/>
            <w:vAlign w:val="center"/>
          </w:tcPr>
          <w:p w14:paraId="4CE859F7">
            <w:pPr>
              <w:spacing w:line="0" w:lineRule="atLeast"/>
              <w:contextualSpacing/>
              <w:jc w:val="center"/>
              <w:rPr>
                <w:rFonts w:hint="default" w:ascii="Times New Roman" w:hAnsi="Times New Roman" w:eastAsia="宋体" w:cs="Times New Roman"/>
                <w:color w:val="auto"/>
                <w:sz w:val="21"/>
                <w:szCs w:val="21"/>
                <w:highlight w:val="none"/>
              </w:rPr>
            </w:pPr>
          </w:p>
        </w:tc>
        <w:tc>
          <w:tcPr>
            <w:tcW w:w="866" w:type="pct"/>
            <w:noWrap w:val="0"/>
            <w:vAlign w:val="center"/>
          </w:tcPr>
          <w:p w14:paraId="17131B25">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daf</w:t>
            </w:r>
            <w:r>
              <w:rPr>
                <w:rFonts w:hint="default" w:ascii="Times New Roman" w:hAnsi="Times New Roman" w:eastAsia="宋体" w:cs="Times New Roman"/>
                <w:color w:val="auto"/>
                <w:sz w:val="21"/>
                <w:szCs w:val="21"/>
                <w:highlight w:val="none"/>
              </w:rPr>
              <w:t>＜15%</w:t>
            </w:r>
          </w:p>
        </w:tc>
        <w:tc>
          <w:tcPr>
            <w:tcW w:w="1557" w:type="pct"/>
            <w:noWrap w:val="0"/>
            <w:vAlign w:val="center"/>
          </w:tcPr>
          <w:p w14:paraId="278F5029">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=0.406Q</w:t>
            </w:r>
            <w:r>
              <w:rPr>
                <w:rFonts w:hint="default" w:ascii="Times New Roman" w:hAnsi="Times New Roman" w:eastAsia="宋体" w:cs="Times New Roman"/>
                <w:color w:val="auto"/>
                <w:sz w:val="21"/>
                <w:szCs w:val="21"/>
                <w:highlight w:val="none"/>
                <w:vertAlign w:val="subscript"/>
              </w:rPr>
              <w:t>net，ar</w:t>
            </w:r>
            <w:r>
              <w:rPr>
                <w:rFonts w:hint="default" w:ascii="Times New Roman" w:hAnsi="Times New Roman" w:eastAsia="宋体" w:cs="Times New Roman"/>
                <w:color w:val="auto"/>
                <w:sz w:val="21"/>
                <w:szCs w:val="21"/>
                <w:highlight w:val="none"/>
              </w:rPr>
              <w:t>+1.157</w:t>
            </w:r>
          </w:p>
        </w:tc>
        <w:tc>
          <w:tcPr>
            <w:tcW w:w="692" w:type="pct"/>
            <w:noWrap w:val="0"/>
            <w:vAlign w:val="center"/>
          </w:tcPr>
          <w:p w14:paraId="6584BEF1">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/kg</w:t>
            </w:r>
          </w:p>
        </w:tc>
      </w:tr>
      <w:tr w14:paraId="3C9C6F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585" w:type="pct"/>
            <w:vMerge w:val="continue"/>
            <w:noWrap w:val="0"/>
            <w:vAlign w:val="center"/>
          </w:tcPr>
          <w:p w14:paraId="7A2E0CC5">
            <w:pPr>
              <w:spacing w:line="0" w:lineRule="atLeast"/>
              <w:contextualSpacing/>
              <w:jc w:val="center"/>
              <w:rPr>
                <w:rFonts w:hint="default" w:ascii="Times New Roman" w:hAnsi="Times New Roman" w:eastAsia="宋体" w:cs="Times New Roman"/>
                <w:color w:val="auto"/>
                <w:sz w:val="21"/>
                <w:szCs w:val="21"/>
                <w:highlight w:val="none"/>
              </w:rPr>
            </w:pPr>
          </w:p>
        </w:tc>
        <w:tc>
          <w:tcPr>
            <w:tcW w:w="2164" w:type="pct"/>
            <w:gridSpan w:val="2"/>
            <w:noWrap w:val="0"/>
            <w:vAlign w:val="center"/>
          </w:tcPr>
          <w:p w14:paraId="6150C285">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Qnet，ar＜12.54MJ/kg</w:t>
            </w:r>
          </w:p>
        </w:tc>
        <w:tc>
          <w:tcPr>
            <w:tcW w:w="1557" w:type="pct"/>
            <w:noWrap w:val="0"/>
            <w:vAlign w:val="center"/>
          </w:tcPr>
          <w:p w14:paraId="3BD6546E">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=0.402Q</w:t>
            </w:r>
            <w:r>
              <w:rPr>
                <w:rFonts w:hint="default" w:ascii="Times New Roman" w:hAnsi="Times New Roman" w:eastAsia="宋体" w:cs="Times New Roman"/>
                <w:color w:val="auto"/>
                <w:sz w:val="21"/>
                <w:szCs w:val="21"/>
                <w:highlight w:val="none"/>
                <w:vertAlign w:val="subscript"/>
              </w:rPr>
              <w:t>net，ar</w:t>
            </w:r>
            <w:r>
              <w:rPr>
                <w:rFonts w:hint="default" w:ascii="Times New Roman" w:hAnsi="Times New Roman" w:eastAsia="宋体" w:cs="Times New Roman"/>
                <w:color w:val="auto"/>
                <w:sz w:val="21"/>
                <w:szCs w:val="21"/>
                <w:highlight w:val="none"/>
              </w:rPr>
              <w:t>+0.822</w:t>
            </w:r>
          </w:p>
        </w:tc>
        <w:tc>
          <w:tcPr>
            <w:tcW w:w="692" w:type="pct"/>
            <w:noWrap w:val="0"/>
            <w:vAlign w:val="center"/>
          </w:tcPr>
          <w:p w14:paraId="6C2E5F90">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/kg</w:t>
            </w:r>
          </w:p>
        </w:tc>
      </w:tr>
      <w:tr w14:paraId="54BF23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2750" w:type="pct"/>
            <w:gridSpan w:val="3"/>
            <w:noWrap w:val="0"/>
            <w:vAlign w:val="center"/>
          </w:tcPr>
          <w:p w14:paraId="4164AB3E">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燃油锅炉</w:t>
            </w:r>
          </w:p>
        </w:tc>
        <w:tc>
          <w:tcPr>
            <w:tcW w:w="1557" w:type="pct"/>
            <w:noWrap w:val="0"/>
            <w:vAlign w:val="center"/>
          </w:tcPr>
          <w:p w14:paraId="0D543DD7">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=0.29Q</w:t>
            </w:r>
            <w:r>
              <w:rPr>
                <w:rFonts w:hint="default" w:ascii="Times New Roman" w:hAnsi="Times New Roman" w:eastAsia="宋体" w:cs="Times New Roman"/>
                <w:color w:val="auto"/>
                <w:sz w:val="21"/>
                <w:szCs w:val="21"/>
                <w:highlight w:val="none"/>
                <w:vertAlign w:val="subscript"/>
              </w:rPr>
              <w:t>net，ar</w:t>
            </w:r>
            <w:r>
              <w:rPr>
                <w:rFonts w:hint="default" w:ascii="Times New Roman" w:hAnsi="Times New Roman" w:eastAsia="宋体" w:cs="Times New Roman"/>
                <w:color w:val="auto"/>
                <w:sz w:val="21"/>
                <w:szCs w:val="21"/>
                <w:highlight w:val="none"/>
              </w:rPr>
              <w:t>+0.379</w:t>
            </w:r>
          </w:p>
        </w:tc>
        <w:tc>
          <w:tcPr>
            <w:tcW w:w="692" w:type="pct"/>
            <w:noWrap w:val="0"/>
            <w:vAlign w:val="center"/>
          </w:tcPr>
          <w:p w14:paraId="746BBEF2">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/kg</w:t>
            </w:r>
          </w:p>
        </w:tc>
      </w:tr>
      <w:tr w14:paraId="6CDE9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85" w:type="pct"/>
            <w:vMerge w:val="restart"/>
            <w:noWrap w:val="0"/>
            <w:vAlign w:val="center"/>
          </w:tcPr>
          <w:p w14:paraId="57F94E8D">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燃气锅炉</w:t>
            </w:r>
          </w:p>
        </w:tc>
        <w:tc>
          <w:tcPr>
            <w:tcW w:w="2164" w:type="pct"/>
            <w:gridSpan w:val="2"/>
            <w:noWrap w:val="0"/>
            <w:vAlign w:val="center"/>
          </w:tcPr>
          <w:p w14:paraId="75B683F2">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天然气</w:t>
            </w:r>
          </w:p>
        </w:tc>
        <w:tc>
          <w:tcPr>
            <w:tcW w:w="1557" w:type="pct"/>
            <w:noWrap w:val="0"/>
            <w:vAlign w:val="center"/>
          </w:tcPr>
          <w:p w14:paraId="46F0E26B">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=0.285Q</w:t>
            </w:r>
            <w:r>
              <w:rPr>
                <w:rFonts w:hint="default" w:ascii="Times New Roman" w:hAnsi="Times New Roman" w:eastAsia="宋体" w:cs="Times New Roman"/>
                <w:color w:val="auto"/>
                <w:sz w:val="21"/>
                <w:szCs w:val="21"/>
                <w:highlight w:val="none"/>
                <w:vertAlign w:val="subscript"/>
              </w:rPr>
              <w:t>net</w:t>
            </w:r>
            <w:r>
              <w:rPr>
                <w:rFonts w:hint="default" w:ascii="Times New Roman" w:hAnsi="Times New Roman" w:eastAsia="宋体" w:cs="Times New Roman"/>
                <w:color w:val="auto"/>
                <w:sz w:val="21"/>
                <w:szCs w:val="21"/>
                <w:highlight w:val="none"/>
              </w:rPr>
              <w:t>+0.343</w:t>
            </w:r>
          </w:p>
        </w:tc>
        <w:tc>
          <w:tcPr>
            <w:tcW w:w="692" w:type="pct"/>
            <w:noWrap w:val="0"/>
            <w:vAlign w:val="center"/>
          </w:tcPr>
          <w:p w14:paraId="74E296E5">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p>
        </w:tc>
      </w:tr>
      <w:tr w14:paraId="4C81BD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585" w:type="pct"/>
            <w:vMerge w:val="continue"/>
            <w:noWrap w:val="0"/>
            <w:vAlign w:val="center"/>
          </w:tcPr>
          <w:p w14:paraId="14D20BDC">
            <w:pPr>
              <w:spacing w:line="0" w:lineRule="atLeast"/>
              <w:contextualSpacing/>
              <w:jc w:val="center"/>
              <w:rPr>
                <w:rFonts w:hint="default" w:ascii="Times New Roman" w:hAnsi="Times New Roman" w:eastAsia="宋体" w:cs="Times New Roman"/>
                <w:color w:val="auto"/>
                <w:sz w:val="21"/>
                <w:szCs w:val="21"/>
                <w:highlight w:val="none"/>
              </w:rPr>
            </w:pPr>
          </w:p>
        </w:tc>
        <w:tc>
          <w:tcPr>
            <w:tcW w:w="2164" w:type="pct"/>
            <w:gridSpan w:val="2"/>
            <w:noWrap w:val="0"/>
            <w:vAlign w:val="center"/>
          </w:tcPr>
          <w:p w14:paraId="2EF9B69D">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高炉煤气</w:t>
            </w:r>
          </w:p>
        </w:tc>
        <w:tc>
          <w:tcPr>
            <w:tcW w:w="1557" w:type="pct"/>
            <w:noWrap w:val="0"/>
            <w:vAlign w:val="center"/>
          </w:tcPr>
          <w:p w14:paraId="5D006474">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=0.194Q</w:t>
            </w:r>
            <w:r>
              <w:rPr>
                <w:rFonts w:hint="default" w:ascii="Times New Roman" w:hAnsi="Times New Roman" w:eastAsia="宋体" w:cs="Times New Roman"/>
                <w:color w:val="auto"/>
                <w:sz w:val="21"/>
                <w:szCs w:val="21"/>
                <w:highlight w:val="none"/>
                <w:vertAlign w:val="subscript"/>
              </w:rPr>
              <w:t>net</w:t>
            </w:r>
            <w:r>
              <w:rPr>
                <w:rFonts w:hint="default" w:ascii="Times New Roman" w:hAnsi="Times New Roman" w:eastAsia="宋体" w:cs="Times New Roman"/>
                <w:color w:val="auto"/>
                <w:sz w:val="21"/>
                <w:szCs w:val="21"/>
                <w:highlight w:val="none"/>
              </w:rPr>
              <w:t>+0.946</w:t>
            </w:r>
          </w:p>
        </w:tc>
        <w:tc>
          <w:tcPr>
            <w:tcW w:w="692" w:type="pct"/>
            <w:noWrap w:val="0"/>
            <w:vAlign w:val="center"/>
          </w:tcPr>
          <w:p w14:paraId="6EAA93DD">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p>
        </w:tc>
      </w:tr>
      <w:tr w14:paraId="779F70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585" w:type="pct"/>
            <w:vMerge w:val="continue"/>
            <w:noWrap w:val="0"/>
            <w:vAlign w:val="center"/>
          </w:tcPr>
          <w:p w14:paraId="487A214D">
            <w:pPr>
              <w:spacing w:line="0" w:lineRule="atLeast"/>
              <w:contextualSpacing/>
              <w:jc w:val="center"/>
              <w:rPr>
                <w:rFonts w:hint="default" w:ascii="Times New Roman" w:hAnsi="Times New Roman" w:eastAsia="宋体" w:cs="Times New Roman"/>
                <w:color w:val="auto"/>
                <w:sz w:val="21"/>
                <w:szCs w:val="21"/>
                <w:highlight w:val="none"/>
              </w:rPr>
            </w:pPr>
          </w:p>
        </w:tc>
        <w:tc>
          <w:tcPr>
            <w:tcW w:w="2164" w:type="pct"/>
            <w:gridSpan w:val="2"/>
            <w:noWrap w:val="0"/>
            <w:vAlign w:val="center"/>
          </w:tcPr>
          <w:p w14:paraId="2AAB5191">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转炉煤气</w:t>
            </w:r>
          </w:p>
        </w:tc>
        <w:tc>
          <w:tcPr>
            <w:tcW w:w="1557" w:type="pct"/>
            <w:noWrap w:val="0"/>
            <w:vAlign w:val="center"/>
          </w:tcPr>
          <w:p w14:paraId="0280BDF4">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=0.19Q</w:t>
            </w:r>
            <w:r>
              <w:rPr>
                <w:rFonts w:hint="default" w:ascii="Times New Roman" w:hAnsi="Times New Roman" w:eastAsia="宋体" w:cs="Times New Roman"/>
                <w:color w:val="auto"/>
                <w:sz w:val="21"/>
                <w:szCs w:val="21"/>
                <w:highlight w:val="none"/>
                <w:vertAlign w:val="subscript"/>
              </w:rPr>
              <w:t>net</w:t>
            </w:r>
            <w:r>
              <w:rPr>
                <w:rFonts w:hint="default" w:ascii="Times New Roman" w:hAnsi="Times New Roman" w:eastAsia="宋体" w:cs="Times New Roman"/>
                <w:color w:val="auto"/>
                <w:sz w:val="21"/>
                <w:szCs w:val="21"/>
                <w:highlight w:val="none"/>
              </w:rPr>
              <w:t>+0.926</w:t>
            </w:r>
          </w:p>
        </w:tc>
        <w:tc>
          <w:tcPr>
            <w:tcW w:w="692" w:type="pct"/>
            <w:noWrap w:val="0"/>
            <w:vAlign w:val="center"/>
          </w:tcPr>
          <w:p w14:paraId="536F5C96">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p>
        </w:tc>
      </w:tr>
      <w:tr w14:paraId="5169A7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585" w:type="pct"/>
            <w:vMerge w:val="continue"/>
            <w:noWrap w:val="0"/>
            <w:vAlign w:val="center"/>
          </w:tcPr>
          <w:p w14:paraId="7C7E01B3">
            <w:pPr>
              <w:spacing w:line="0" w:lineRule="atLeast"/>
              <w:contextualSpacing/>
              <w:jc w:val="center"/>
              <w:rPr>
                <w:rFonts w:hint="default" w:ascii="Times New Roman" w:hAnsi="Times New Roman" w:eastAsia="宋体" w:cs="Times New Roman"/>
                <w:color w:val="auto"/>
                <w:sz w:val="21"/>
                <w:szCs w:val="21"/>
                <w:highlight w:val="none"/>
              </w:rPr>
            </w:pPr>
          </w:p>
        </w:tc>
        <w:tc>
          <w:tcPr>
            <w:tcW w:w="2164" w:type="pct"/>
            <w:gridSpan w:val="2"/>
            <w:noWrap w:val="0"/>
            <w:vAlign w:val="center"/>
          </w:tcPr>
          <w:p w14:paraId="50A0B7F6">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焦炉煤气</w:t>
            </w:r>
          </w:p>
        </w:tc>
        <w:tc>
          <w:tcPr>
            <w:tcW w:w="1557" w:type="pct"/>
            <w:noWrap w:val="0"/>
            <w:vAlign w:val="center"/>
          </w:tcPr>
          <w:p w14:paraId="490B115E">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=0.265Q</w:t>
            </w:r>
            <w:r>
              <w:rPr>
                <w:rFonts w:hint="default" w:ascii="Times New Roman" w:hAnsi="Times New Roman" w:eastAsia="宋体" w:cs="Times New Roman"/>
                <w:color w:val="auto"/>
                <w:sz w:val="21"/>
                <w:szCs w:val="21"/>
                <w:highlight w:val="none"/>
                <w:vertAlign w:val="subscript"/>
              </w:rPr>
              <w:t>net</w:t>
            </w:r>
            <w:r>
              <w:rPr>
                <w:rFonts w:hint="default" w:ascii="Times New Roman" w:hAnsi="Times New Roman" w:eastAsia="宋体" w:cs="Times New Roman"/>
                <w:color w:val="auto"/>
                <w:sz w:val="21"/>
                <w:szCs w:val="21"/>
                <w:highlight w:val="none"/>
              </w:rPr>
              <w:t>+0.114</w:t>
            </w:r>
          </w:p>
        </w:tc>
        <w:tc>
          <w:tcPr>
            <w:tcW w:w="692" w:type="pct"/>
            <w:noWrap w:val="0"/>
            <w:vAlign w:val="center"/>
          </w:tcPr>
          <w:p w14:paraId="5F1CA1C1">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p>
        </w:tc>
      </w:tr>
      <w:tr w14:paraId="2CC172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585" w:type="pct"/>
            <w:vMerge w:val="restart"/>
            <w:noWrap w:val="0"/>
            <w:vAlign w:val="center"/>
          </w:tcPr>
          <w:p w14:paraId="3A50616E">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燃生物质锅炉</w:t>
            </w:r>
          </w:p>
        </w:tc>
        <w:tc>
          <w:tcPr>
            <w:tcW w:w="1298" w:type="pct"/>
            <w:vMerge w:val="restart"/>
            <w:noWrap w:val="0"/>
            <w:vAlign w:val="center"/>
          </w:tcPr>
          <w:p w14:paraId="6E2EAA31">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Qnet，ar≥12.54MJ/kg</w:t>
            </w:r>
          </w:p>
        </w:tc>
        <w:tc>
          <w:tcPr>
            <w:tcW w:w="866" w:type="pct"/>
            <w:noWrap w:val="0"/>
            <w:vAlign w:val="center"/>
          </w:tcPr>
          <w:p w14:paraId="5DFDD676">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Vdaf≥15%</w:t>
            </w:r>
          </w:p>
        </w:tc>
        <w:tc>
          <w:tcPr>
            <w:tcW w:w="1557" w:type="pct"/>
            <w:noWrap w:val="0"/>
            <w:vAlign w:val="center"/>
          </w:tcPr>
          <w:p w14:paraId="08CDB066">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=0.393Q</w:t>
            </w:r>
            <w:r>
              <w:rPr>
                <w:rFonts w:hint="default" w:ascii="Times New Roman" w:hAnsi="Times New Roman" w:eastAsia="宋体" w:cs="Times New Roman"/>
                <w:color w:val="auto"/>
                <w:sz w:val="21"/>
                <w:szCs w:val="21"/>
                <w:highlight w:val="none"/>
                <w:vertAlign w:val="subscript"/>
              </w:rPr>
              <w:t>net，ar</w:t>
            </w:r>
            <w:r>
              <w:rPr>
                <w:rFonts w:hint="default" w:ascii="Times New Roman" w:hAnsi="Times New Roman" w:eastAsia="宋体" w:cs="Times New Roman"/>
                <w:color w:val="auto"/>
                <w:sz w:val="21"/>
                <w:szCs w:val="21"/>
                <w:highlight w:val="none"/>
              </w:rPr>
              <w:t>+0.876</w:t>
            </w:r>
          </w:p>
        </w:tc>
        <w:tc>
          <w:tcPr>
            <w:tcW w:w="692" w:type="pct"/>
            <w:noWrap w:val="0"/>
            <w:vAlign w:val="center"/>
          </w:tcPr>
          <w:p w14:paraId="501BFE4B">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/kg</w:t>
            </w:r>
          </w:p>
        </w:tc>
      </w:tr>
      <w:tr w14:paraId="48AB8C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85" w:type="pct"/>
            <w:vMerge w:val="continue"/>
            <w:noWrap w:val="0"/>
            <w:vAlign w:val="center"/>
          </w:tcPr>
          <w:p w14:paraId="5D8B0D51">
            <w:pPr>
              <w:spacing w:line="0" w:lineRule="atLeast"/>
              <w:contextualSpacing/>
              <w:jc w:val="center"/>
              <w:rPr>
                <w:rFonts w:hint="default" w:ascii="Times New Roman" w:hAnsi="Times New Roman" w:eastAsia="宋体" w:cs="Times New Roman"/>
                <w:color w:val="auto"/>
                <w:sz w:val="21"/>
                <w:szCs w:val="21"/>
                <w:highlight w:val="none"/>
              </w:rPr>
            </w:pPr>
          </w:p>
        </w:tc>
        <w:tc>
          <w:tcPr>
            <w:tcW w:w="1298" w:type="pct"/>
            <w:vMerge w:val="continue"/>
            <w:noWrap w:val="0"/>
            <w:vAlign w:val="center"/>
          </w:tcPr>
          <w:p w14:paraId="15D6C425">
            <w:pPr>
              <w:spacing w:line="0" w:lineRule="atLeast"/>
              <w:contextualSpacing/>
              <w:jc w:val="center"/>
              <w:rPr>
                <w:rFonts w:hint="default" w:ascii="Times New Roman" w:hAnsi="Times New Roman" w:eastAsia="宋体" w:cs="Times New Roman"/>
                <w:color w:val="auto"/>
                <w:sz w:val="21"/>
                <w:szCs w:val="21"/>
                <w:highlight w:val="none"/>
              </w:rPr>
            </w:pPr>
          </w:p>
        </w:tc>
        <w:tc>
          <w:tcPr>
            <w:tcW w:w="866" w:type="pct"/>
            <w:noWrap w:val="0"/>
            <w:vAlign w:val="center"/>
          </w:tcPr>
          <w:p w14:paraId="1D6DE03A">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Vdaf＜15%</w:t>
            </w:r>
          </w:p>
        </w:tc>
        <w:tc>
          <w:tcPr>
            <w:tcW w:w="1557" w:type="pct"/>
            <w:noWrap w:val="0"/>
            <w:vAlign w:val="center"/>
          </w:tcPr>
          <w:p w14:paraId="1816203A">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=0.385Q</w:t>
            </w:r>
            <w:r>
              <w:rPr>
                <w:rFonts w:hint="default" w:ascii="Times New Roman" w:hAnsi="Times New Roman" w:eastAsia="宋体" w:cs="Times New Roman"/>
                <w:color w:val="auto"/>
                <w:sz w:val="21"/>
                <w:szCs w:val="21"/>
                <w:highlight w:val="none"/>
                <w:vertAlign w:val="subscript"/>
              </w:rPr>
              <w:t>net，ar</w:t>
            </w:r>
            <w:r>
              <w:rPr>
                <w:rFonts w:hint="default" w:ascii="Times New Roman" w:hAnsi="Times New Roman" w:eastAsia="宋体" w:cs="Times New Roman"/>
                <w:color w:val="auto"/>
                <w:sz w:val="21"/>
                <w:szCs w:val="21"/>
                <w:highlight w:val="none"/>
              </w:rPr>
              <w:t>+1.095</w:t>
            </w:r>
          </w:p>
        </w:tc>
        <w:tc>
          <w:tcPr>
            <w:tcW w:w="692" w:type="pct"/>
            <w:noWrap w:val="0"/>
            <w:vAlign w:val="center"/>
          </w:tcPr>
          <w:p w14:paraId="1DF8982B">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/kg</w:t>
            </w:r>
          </w:p>
        </w:tc>
      </w:tr>
      <w:tr w14:paraId="662EAE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85" w:type="pct"/>
            <w:vMerge w:val="continue"/>
            <w:noWrap w:val="0"/>
            <w:vAlign w:val="center"/>
          </w:tcPr>
          <w:p w14:paraId="29576A30">
            <w:pPr>
              <w:spacing w:line="0" w:lineRule="atLeast"/>
              <w:contextualSpacing/>
              <w:jc w:val="center"/>
              <w:rPr>
                <w:rFonts w:hint="default" w:ascii="Times New Roman" w:hAnsi="Times New Roman" w:eastAsia="宋体" w:cs="Times New Roman"/>
                <w:color w:val="auto"/>
                <w:sz w:val="21"/>
                <w:szCs w:val="21"/>
                <w:highlight w:val="none"/>
              </w:rPr>
            </w:pPr>
          </w:p>
        </w:tc>
        <w:tc>
          <w:tcPr>
            <w:tcW w:w="2164" w:type="pct"/>
            <w:gridSpan w:val="2"/>
            <w:noWrap w:val="0"/>
            <w:vAlign w:val="center"/>
          </w:tcPr>
          <w:p w14:paraId="47A34408">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Qnet，ar＜12.54MJ/kg</w:t>
            </w:r>
          </w:p>
        </w:tc>
        <w:tc>
          <w:tcPr>
            <w:tcW w:w="1557" w:type="pct"/>
            <w:noWrap w:val="0"/>
            <w:vAlign w:val="center"/>
          </w:tcPr>
          <w:p w14:paraId="65150D8B">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=0.385Q</w:t>
            </w:r>
            <w:r>
              <w:rPr>
                <w:rFonts w:hint="default" w:ascii="Times New Roman" w:hAnsi="Times New Roman" w:eastAsia="宋体" w:cs="Times New Roman"/>
                <w:color w:val="auto"/>
                <w:sz w:val="21"/>
                <w:szCs w:val="21"/>
                <w:highlight w:val="none"/>
                <w:vertAlign w:val="subscript"/>
              </w:rPr>
              <w:t>net，ar</w:t>
            </w:r>
            <w:r>
              <w:rPr>
                <w:rFonts w:hint="default" w:ascii="Times New Roman" w:hAnsi="Times New Roman" w:eastAsia="宋体" w:cs="Times New Roman"/>
                <w:color w:val="auto"/>
                <w:sz w:val="21"/>
                <w:szCs w:val="21"/>
                <w:highlight w:val="none"/>
              </w:rPr>
              <w:t>+0.788</w:t>
            </w:r>
          </w:p>
        </w:tc>
        <w:tc>
          <w:tcPr>
            <w:tcW w:w="692" w:type="pct"/>
            <w:noWrap w:val="0"/>
            <w:vAlign w:val="center"/>
          </w:tcPr>
          <w:p w14:paraId="5031111B">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/kg</w:t>
            </w:r>
          </w:p>
        </w:tc>
      </w:tr>
    </w:tbl>
    <w:p w14:paraId="24E34E92">
      <w:pPr>
        <w:spacing w:line="36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注：1.V</w:t>
      </w:r>
      <w:r>
        <w:rPr>
          <w:rFonts w:hint="default" w:ascii="Times New Roman" w:hAnsi="Times New Roman" w:eastAsia="宋体" w:cs="Times New Roman"/>
          <w:color w:val="auto"/>
          <w:sz w:val="21"/>
          <w:szCs w:val="21"/>
          <w:highlight w:val="none"/>
          <w:vertAlign w:val="subscript"/>
        </w:rPr>
        <w:t>daf</w:t>
      </w:r>
      <w:r>
        <w:rPr>
          <w:rFonts w:hint="default" w:ascii="Times New Roman" w:hAnsi="Times New Roman" w:eastAsia="宋体" w:cs="Times New Roman"/>
          <w:color w:val="auto"/>
          <w:sz w:val="21"/>
          <w:szCs w:val="21"/>
          <w:highlight w:val="none"/>
        </w:rPr>
        <w:t>，燃料干燥无灰基挥发分（%）；V</w:t>
      </w:r>
      <w:r>
        <w:rPr>
          <w:rFonts w:hint="default" w:ascii="Times New Roman" w:hAnsi="Times New Roman" w:eastAsia="宋体" w:cs="Times New Roman"/>
          <w:color w:val="auto"/>
          <w:sz w:val="21"/>
          <w:szCs w:val="21"/>
          <w:highlight w:val="none"/>
          <w:vertAlign w:val="subscript"/>
        </w:rPr>
        <w:t>gy</w:t>
      </w:r>
      <w:r>
        <w:rPr>
          <w:rFonts w:hint="default" w:ascii="Times New Roman" w:hAnsi="Times New Roman" w:eastAsia="宋体" w:cs="Times New Roman"/>
          <w:color w:val="auto"/>
          <w:sz w:val="21"/>
          <w:szCs w:val="21"/>
          <w:highlight w:val="none"/>
        </w:rPr>
        <w:t>，基准烟气量（Nm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/kg或Nm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p w14:paraId="078A4904">
      <w:pPr>
        <w:spacing w:line="36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 Q</w:t>
      </w:r>
      <w:r>
        <w:rPr>
          <w:rFonts w:hint="default" w:ascii="Times New Roman" w:hAnsi="Times New Roman" w:eastAsia="宋体" w:cs="Times New Roman"/>
          <w:color w:val="auto"/>
          <w:sz w:val="21"/>
          <w:szCs w:val="21"/>
          <w:highlight w:val="none"/>
          <w:vertAlign w:val="subscript"/>
        </w:rPr>
        <w:t>net，ar</w:t>
      </w:r>
      <w:r>
        <w:rPr>
          <w:rFonts w:hint="default" w:ascii="Times New Roman" w:hAnsi="Times New Roman" w:eastAsia="宋体" w:cs="Times New Roman"/>
          <w:color w:val="auto"/>
          <w:sz w:val="21"/>
          <w:szCs w:val="21"/>
          <w:highlight w:val="none"/>
        </w:rPr>
        <w:t>，固体/液体燃料收到基低位发热量（MJ/kg）；Q</w:t>
      </w:r>
      <w:r>
        <w:rPr>
          <w:rFonts w:hint="default" w:ascii="Times New Roman" w:hAnsi="Times New Roman" w:eastAsia="宋体" w:cs="Times New Roman"/>
          <w:color w:val="auto"/>
          <w:sz w:val="21"/>
          <w:szCs w:val="21"/>
          <w:highlight w:val="none"/>
          <w:vertAlign w:val="subscript"/>
        </w:rPr>
        <w:t>net</w:t>
      </w:r>
      <w:r>
        <w:rPr>
          <w:rFonts w:hint="default" w:ascii="Times New Roman" w:hAnsi="Times New Roman" w:eastAsia="宋体" w:cs="Times New Roman"/>
          <w:color w:val="auto"/>
          <w:sz w:val="21"/>
          <w:szCs w:val="21"/>
          <w:highlight w:val="none"/>
        </w:rPr>
        <w:t>,气体燃料低位发热量（MJ/m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）；按前三年所有批次燃料低位发热量的平均值进行选取，未投运或投运不满一年的锅炉按设计燃料低位发热量进行选取，投运满一年但未满三年的锅炉按运行周期年内所有批次燃料低位发热量的平均值选取。</w:t>
      </w:r>
    </w:p>
    <w:p w14:paraId="125CA43C">
      <w:pPr>
        <w:spacing w:line="360"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3.经验公式估算法不适用于使用型煤、水煤浆、煤矸石、石油焦、油页岩、发生炉煤气、沼气、黄磷尾气、生物质气体等燃料的基准烟气量计算。</w:t>
      </w:r>
    </w:p>
    <w:p w14:paraId="0085E38F">
      <w:pPr>
        <w:spacing w:line="360" w:lineRule="auto"/>
        <w:jc w:val="center"/>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1"/>
          <w:highlight w:val="none"/>
        </w:rPr>
        <w:t>表2 大气污染物许可排放量调整系数取值表</w:t>
      </w:r>
    </w:p>
    <w:tbl>
      <w:tblPr>
        <w:tblStyle w:val="43"/>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3"/>
        <w:gridCol w:w="4332"/>
        <w:gridCol w:w="1232"/>
        <w:gridCol w:w="1232"/>
        <w:gridCol w:w="1079"/>
      </w:tblGrid>
      <w:tr w14:paraId="3CC135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43" w:type="pct"/>
            <w:gridSpan w:val="2"/>
            <w:noWrap w:val="0"/>
            <w:vAlign w:val="center"/>
          </w:tcPr>
          <w:p w14:paraId="479F5147">
            <w:pPr>
              <w:spacing w:line="0" w:lineRule="atLeast"/>
              <w:contextualSpacing/>
              <w:jc w:val="righ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mc:AlternateContent>
                <mc:Choice Requires="wps">
                  <w:drawing>
                    <wp:anchor distT="0" distB="0" distL="114300" distR="114300" simplePos="0" relativeHeight="251667456" behindDoc="0" locked="0" layoutInCell="1" allowOverlap="1">
                      <wp:simplePos x="0" y="0"/>
                      <wp:positionH relativeFrom="column">
                        <wp:posOffset>-57150</wp:posOffset>
                      </wp:positionH>
                      <wp:positionV relativeFrom="paragraph">
                        <wp:posOffset>19685</wp:posOffset>
                      </wp:positionV>
                      <wp:extent cx="3198495" cy="296545"/>
                      <wp:effectExtent l="635" t="4445" r="1270" b="19050"/>
                      <wp:wrapNone/>
                      <wp:docPr id="80" name="直接箭头连接符 80"/>
                      <wp:cNvGraphicFramePr/>
                      <a:graphic xmlns:a="http://schemas.openxmlformats.org/drawingml/2006/main">
                        <a:graphicData uri="http://schemas.microsoft.com/office/word/2010/wordprocessingShape">
                          <wps:wsp>
                            <wps:cNvCnPr/>
                            <wps:spPr>
                              <a:xfrm>
                                <a:off x="0" y="0"/>
                                <a:ext cx="3198495" cy="2965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5pt;margin-top:1.55pt;height:23.35pt;width:251.85pt;z-index:251667456;mso-width-relative:page;mso-height-relative:page;" filled="f" stroked="t" coordsize="21600,21600" o:gfxdata="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6YuedcAAAAHAQAADwAAAAAAAAABACAAAAAiAAAAZHJzL2Rv&#10;d25yZXYueG1sUEsBAhQAFAAAAAgAh07iQLPm4WACAgAA8wMAAA4AAAAAAAAAAQAgAAAAJgEAAGRy&#10;cy9lMm9Eb2MueG1sUEsFBgAAAAAGAAYAWQEAAJoFAAAAAA==&#10;">
                      <v:fill on="f" focussize="0,0"/>
                      <v:stroke color="#000000" joinstyle="round"/>
                      <v:imagedata o:title=""/>
                      <o:lock v:ext="edit" aspectratio="f"/>
                    </v:shape>
                  </w:pict>
                </mc:Fallback>
              </mc:AlternateContent>
            </w:r>
            <w:r>
              <w:rPr>
                <w:rFonts w:hint="default" w:ascii="Times New Roman" w:hAnsi="Times New Roman" w:eastAsia="宋体" w:cs="Times New Roman"/>
                <w:color w:val="auto"/>
                <w:sz w:val="21"/>
                <w:szCs w:val="21"/>
                <w:highlight w:val="none"/>
              </w:rPr>
              <w:t>污染物项目</w:t>
            </w:r>
          </w:p>
          <w:p w14:paraId="53BC9F03">
            <w:pPr>
              <w:spacing w:line="0" w:lineRule="atLeast"/>
              <w:contextualSpacing/>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锅炉排污单位执行标准</w:t>
            </w:r>
          </w:p>
        </w:tc>
        <w:tc>
          <w:tcPr>
            <w:tcW w:w="680" w:type="pct"/>
            <w:noWrap w:val="0"/>
            <w:vAlign w:val="center"/>
          </w:tcPr>
          <w:p w14:paraId="54805786">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二氧化硫</w:t>
            </w:r>
          </w:p>
        </w:tc>
        <w:tc>
          <w:tcPr>
            <w:tcW w:w="680" w:type="pct"/>
            <w:noWrap w:val="0"/>
            <w:vAlign w:val="center"/>
          </w:tcPr>
          <w:p w14:paraId="73A3D7DB">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氮氧化物</w:t>
            </w:r>
          </w:p>
        </w:tc>
        <w:tc>
          <w:tcPr>
            <w:tcW w:w="595" w:type="pct"/>
            <w:noWrap w:val="0"/>
            <w:vAlign w:val="center"/>
          </w:tcPr>
          <w:p w14:paraId="44AB4938">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颗粒物</w:t>
            </w:r>
          </w:p>
        </w:tc>
      </w:tr>
      <w:tr w14:paraId="779F86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43" w:type="pct"/>
            <w:gridSpan w:val="2"/>
            <w:noWrap w:val="0"/>
            <w:vAlign w:val="center"/>
          </w:tcPr>
          <w:p w14:paraId="3A86B0A8">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GB13271</w:t>
            </w:r>
          </w:p>
        </w:tc>
        <w:tc>
          <w:tcPr>
            <w:tcW w:w="680" w:type="pct"/>
            <w:noWrap w:val="0"/>
            <w:vAlign w:val="center"/>
          </w:tcPr>
          <w:p w14:paraId="20F2368E">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w:t>
            </w:r>
          </w:p>
        </w:tc>
        <w:tc>
          <w:tcPr>
            <w:tcW w:w="680" w:type="pct"/>
            <w:noWrap w:val="0"/>
            <w:vAlign w:val="center"/>
          </w:tcPr>
          <w:p w14:paraId="2C24FA95">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595" w:type="pct"/>
            <w:noWrap w:val="0"/>
            <w:vAlign w:val="center"/>
          </w:tcPr>
          <w:p w14:paraId="159DB034">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r>
      <w:tr w14:paraId="499814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3" w:type="pct"/>
            <w:vMerge w:val="restart"/>
            <w:noWrap w:val="0"/>
            <w:vAlign w:val="center"/>
          </w:tcPr>
          <w:p w14:paraId="26003749">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地方标准</w:t>
            </w:r>
          </w:p>
        </w:tc>
        <w:tc>
          <w:tcPr>
            <w:tcW w:w="2389" w:type="pct"/>
            <w:noWrap w:val="0"/>
            <w:vAlign w:val="center"/>
          </w:tcPr>
          <w:p w14:paraId="68B903C7">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标准限值＞0.8倍GB13271特别排放限值</w:t>
            </w:r>
          </w:p>
        </w:tc>
        <w:tc>
          <w:tcPr>
            <w:tcW w:w="680" w:type="pct"/>
            <w:noWrap w:val="0"/>
            <w:vAlign w:val="center"/>
          </w:tcPr>
          <w:p w14:paraId="58691E7A">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w:t>
            </w:r>
          </w:p>
        </w:tc>
        <w:tc>
          <w:tcPr>
            <w:tcW w:w="680" w:type="pct"/>
            <w:noWrap w:val="0"/>
            <w:vAlign w:val="center"/>
          </w:tcPr>
          <w:p w14:paraId="3A3D8444">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595" w:type="pct"/>
            <w:noWrap w:val="0"/>
            <w:vAlign w:val="center"/>
          </w:tcPr>
          <w:p w14:paraId="2EBA1CD5">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r>
      <w:tr w14:paraId="21CA7A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53" w:type="pct"/>
            <w:vMerge w:val="continue"/>
            <w:noWrap w:val="0"/>
            <w:vAlign w:val="center"/>
          </w:tcPr>
          <w:p w14:paraId="2068D4D7">
            <w:pPr>
              <w:spacing w:line="0" w:lineRule="atLeast"/>
              <w:contextualSpacing/>
              <w:jc w:val="center"/>
              <w:rPr>
                <w:rFonts w:hint="default" w:ascii="Times New Roman" w:hAnsi="Times New Roman" w:eastAsia="宋体" w:cs="Times New Roman"/>
                <w:color w:val="auto"/>
                <w:sz w:val="21"/>
                <w:szCs w:val="21"/>
                <w:highlight w:val="none"/>
              </w:rPr>
            </w:pPr>
          </w:p>
        </w:tc>
        <w:tc>
          <w:tcPr>
            <w:tcW w:w="2389" w:type="pct"/>
            <w:noWrap w:val="0"/>
            <w:vAlign w:val="center"/>
          </w:tcPr>
          <w:p w14:paraId="600638EE">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标准限值≤0.8倍GB13271特别排放限值</w:t>
            </w:r>
          </w:p>
        </w:tc>
        <w:tc>
          <w:tcPr>
            <w:tcW w:w="680" w:type="pct"/>
            <w:noWrap w:val="0"/>
            <w:vAlign w:val="center"/>
          </w:tcPr>
          <w:p w14:paraId="6F5ED235">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680" w:type="pct"/>
            <w:noWrap w:val="0"/>
            <w:vAlign w:val="center"/>
          </w:tcPr>
          <w:p w14:paraId="26447CB8">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595" w:type="pct"/>
            <w:noWrap w:val="0"/>
            <w:vAlign w:val="center"/>
          </w:tcPr>
          <w:p w14:paraId="23664F23">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r>
    </w:tbl>
    <w:p w14:paraId="42193A4D">
      <w:pPr>
        <w:spacing w:line="360" w:lineRule="auto"/>
        <w:ind w:firstLine="420" w:firstLineChars="2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固体/液体燃料锅炉的废气污染物（颗粒物、二氧化硫、氮氧化物）年许可排放量按下列公式计算：</w:t>
      </w:r>
    </w:p>
    <w:p w14:paraId="52237DBA">
      <w:pPr>
        <w:spacing w:line="360" w:lineRule="auto"/>
        <w:contextualSpacing/>
        <w:jc w:val="center"/>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E</w:t>
      </w:r>
      <w:r>
        <w:rPr>
          <w:rFonts w:hint="default" w:ascii="Times New Roman" w:hAnsi="Times New Roman" w:eastAsia="宋体" w:cs="Times New Roman"/>
          <w:color w:val="auto"/>
          <w:sz w:val="21"/>
          <w:highlight w:val="none"/>
          <w:vertAlign w:val="subscript"/>
        </w:rPr>
        <w:t>年许可</w:t>
      </w:r>
      <w:r>
        <w:rPr>
          <w:rFonts w:hint="default" w:ascii="Times New Roman" w:hAnsi="Times New Roman" w:eastAsia="宋体" w:cs="Times New Roman"/>
          <w:color w:val="auto"/>
          <w:sz w:val="21"/>
          <w:highlight w:val="none"/>
        </w:rPr>
        <w:t>=</w:t>
      </w:r>
      <m:oMath>
        <m:nary>
          <m:naryPr>
            <m:chr m:val="∑"/>
            <m:ctrlPr>
              <w:rPr>
                <w:rFonts w:hint="default" w:ascii="Cambria Math" w:hAnsi="Cambria Math" w:eastAsia="宋体" w:cs="Times New Roman"/>
                <w:color w:val="auto"/>
                <w:sz w:val="21"/>
                <w:highlight w:val="none"/>
              </w:rPr>
            </m:ctrlPr>
          </m:naryPr>
          <m:sub>
            <m:r>
              <m:rPr>
                <m:nor/>
                <m:sty m:val="p"/>
              </m:rPr>
              <w:rPr>
                <w:rFonts w:hint="default" w:ascii="Times New Roman" w:hAnsi="Times New Roman" w:eastAsia="宋体" w:cs="Times New Roman"/>
                <w:b w:val="0"/>
                <w:i w:val="0"/>
                <w:color w:val="auto"/>
                <w:sz w:val="21"/>
                <w:highlight w:val="none"/>
              </w:rPr>
              <m:t>i=0</m:t>
            </m:r>
            <m:ctrlPr>
              <w:rPr>
                <w:rFonts w:hint="default" w:ascii="Cambria Math" w:hAnsi="Cambria Math" w:eastAsia="宋体" w:cs="Times New Roman"/>
                <w:color w:val="auto"/>
                <w:sz w:val="21"/>
                <w:highlight w:val="none"/>
              </w:rPr>
            </m:ctrlPr>
          </m:sub>
          <m:sup>
            <m:r>
              <m:rPr>
                <m:nor/>
                <m:sty m:val="p"/>
              </m:rPr>
              <w:rPr>
                <w:rFonts w:hint="default" w:ascii="Times New Roman" w:hAnsi="Times New Roman" w:eastAsia="宋体" w:cs="Times New Roman"/>
                <w:b w:val="0"/>
                <w:i w:val="0"/>
                <w:color w:val="auto"/>
                <w:sz w:val="21"/>
                <w:highlight w:val="none"/>
              </w:rPr>
              <m:t>n</m:t>
            </m:r>
            <m:ctrlPr>
              <w:rPr>
                <w:rFonts w:hint="default" w:ascii="Cambria Math" w:hAnsi="Cambria Math" w:eastAsia="宋体" w:cs="Times New Roman"/>
                <w:color w:val="auto"/>
                <w:sz w:val="21"/>
                <w:highlight w:val="none"/>
              </w:rPr>
            </m:ctrlPr>
          </m:sup>
          <m:e>
            <m:r>
              <m:rPr>
                <m:nor/>
                <m:sty m:val="p"/>
              </m:rPr>
              <w:rPr>
                <w:rFonts w:hint="default" w:ascii="Times New Roman" w:hAnsi="Times New Roman" w:eastAsia="宋体" w:cs="Times New Roman"/>
                <w:b w:val="0"/>
                <w:i w:val="0"/>
                <w:color w:val="auto"/>
                <w:sz w:val="21"/>
                <w:highlight w:val="none"/>
              </w:rPr>
              <m:t>C</m:t>
            </m:r>
            <m:r>
              <m:rPr>
                <m:nor/>
                <m:sty m:val="p"/>
              </m:rPr>
              <w:rPr>
                <w:rFonts w:hint="default" w:ascii="Times New Roman" w:hAnsi="Times New Roman" w:eastAsia="宋体" w:cs="Times New Roman"/>
                <w:b w:val="0"/>
                <w:i w:val="0"/>
                <w:color w:val="auto"/>
                <w:sz w:val="21"/>
                <w:highlight w:val="none"/>
                <w:vertAlign w:val="subscript"/>
              </w:rPr>
              <m:t>i</m:t>
            </m:r>
            <m:ctrlPr>
              <w:rPr>
                <w:rFonts w:hint="default" w:ascii="Cambria Math" w:hAnsi="Cambria Math" w:eastAsia="宋体" w:cs="Times New Roman"/>
                <w:color w:val="auto"/>
                <w:sz w:val="21"/>
                <w:highlight w:val="none"/>
              </w:rPr>
            </m:ctrlPr>
          </m:e>
        </m:nary>
      </m:oMath>
      <w:r>
        <w:rPr>
          <w:rFonts w:hint="default" w:ascii="Times New Roman" w:hAnsi="Times New Roman" w:eastAsia="宋体" w:cs="Times New Roman"/>
          <w:color w:val="auto"/>
          <w:sz w:val="21"/>
          <w:highlight w:val="none"/>
        </w:rPr>
        <w:t>×V</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×R</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w:t>
      </w:r>
      <m:oMath>
        <m:r>
          <m:rPr>
            <m:nor/>
            <m:sty m:val="p"/>
          </m:rPr>
          <w:rPr>
            <w:rFonts w:hint="default" w:ascii="Times New Roman" w:hAnsi="Times New Roman" w:eastAsia="宋体" w:cs="Times New Roman"/>
            <w:b w:val="0"/>
            <w:i w:val="0"/>
            <w:color w:val="auto"/>
            <w:sz w:val="21"/>
            <w:highlight w:val="none"/>
          </w:rPr>
          <m:t>δ</m:t>
        </m:r>
      </m:oMath>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×10</w:t>
      </w:r>
      <w:r>
        <w:rPr>
          <w:rFonts w:hint="default" w:ascii="Times New Roman" w:hAnsi="Times New Roman" w:eastAsia="宋体" w:cs="Times New Roman"/>
          <w:color w:val="auto"/>
          <w:sz w:val="21"/>
          <w:highlight w:val="none"/>
          <w:vertAlign w:val="superscript"/>
        </w:rPr>
        <w:t>-6</w:t>
      </w:r>
    </w:p>
    <w:p w14:paraId="35EF34FC">
      <w:pPr>
        <w:spacing w:line="360" w:lineRule="auto"/>
        <w:ind w:firstLine="319" w:firstLineChars="152"/>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式中E</w:t>
      </w:r>
      <w:r>
        <w:rPr>
          <w:rFonts w:hint="default" w:ascii="Times New Roman" w:hAnsi="Times New Roman" w:eastAsia="宋体" w:cs="Times New Roman"/>
          <w:color w:val="auto"/>
          <w:sz w:val="21"/>
          <w:highlight w:val="none"/>
          <w:vertAlign w:val="subscript"/>
        </w:rPr>
        <w:t>年许可</w:t>
      </w:r>
      <w:r>
        <w:rPr>
          <w:rFonts w:hint="default" w:ascii="Times New Roman" w:hAnsi="Times New Roman" w:eastAsia="宋体" w:cs="Times New Roman"/>
          <w:color w:val="auto"/>
          <w:sz w:val="21"/>
          <w:highlight w:val="none"/>
        </w:rPr>
        <w:t>—锅炉排污单位污染物年许可排放量，吨；</w:t>
      </w:r>
    </w:p>
    <w:p w14:paraId="61628221">
      <w:pPr>
        <w:spacing w:line="360" w:lineRule="auto"/>
        <w:ind w:firstLine="840" w:firstLineChars="4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C</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—第i个主要排放口污染物排放标准浓度限值，毫克/立方米；</w:t>
      </w:r>
    </w:p>
    <w:p w14:paraId="7EA21D48">
      <w:pPr>
        <w:spacing w:line="360" w:lineRule="auto"/>
        <w:ind w:firstLine="840" w:firstLineChars="4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V</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—第i个主要排放口基准烟气量，标立方米/千克或标立方米/立方米；</w:t>
      </w:r>
    </w:p>
    <w:p w14:paraId="5ACF09A0">
      <w:pPr>
        <w:spacing w:line="360" w:lineRule="auto"/>
        <w:ind w:firstLine="840" w:firstLineChars="4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R</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第i个主要排放口所对应的锅炉前三年年平均燃料使用量（未投运或投运不满一年的锅炉按照设计年燃料使用量进行选取，投运满一年但未满三年的锅炉按运行周期年平均燃料使用量选取，当前三年或周期年年平均燃料使用量超过设计燃料使用量时，按设计燃料使用量选取），吨或万立方米；</w:t>
      </w:r>
    </w:p>
    <w:p w14:paraId="6A470687">
      <w:pPr>
        <w:spacing w:line="360" w:lineRule="auto"/>
        <w:ind w:firstLine="840" w:firstLineChars="400"/>
        <w:rPr>
          <w:rFonts w:hint="default" w:ascii="Times New Roman" w:hAnsi="Times New Roman" w:eastAsia="宋体" w:cs="Times New Roman"/>
          <w:color w:val="auto"/>
          <w:sz w:val="21"/>
          <w:highlight w:val="none"/>
        </w:rPr>
      </w:pPr>
      <m:oMath>
        <m:r>
          <m:rPr>
            <m:nor/>
            <m:sty m:val="p"/>
          </m:rPr>
          <w:rPr>
            <w:rFonts w:hint="default" w:ascii="Times New Roman" w:hAnsi="Times New Roman" w:eastAsia="宋体" w:cs="Times New Roman"/>
            <w:b w:val="0"/>
            <w:i w:val="0"/>
            <w:color w:val="auto"/>
            <w:sz w:val="21"/>
            <w:highlight w:val="none"/>
          </w:rPr>
          <m:t>δ</m:t>
        </m:r>
      </m:oMath>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—第i个主要排放口所对应的大气污染物许可排放量调整系数，按表2取值</w:t>
      </w:r>
    </w:p>
    <w:p w14:paraId="1E04D8BF">
      <w:pPr>
        <w:spacing w:line="360" w:lineRule="auto"/>
        <w:ind w:firstLine="420" w:firstLineChars="2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fldChar w:fldCharType="begin"/>
      </w:r>
      <w:r>
        <w:rPr>
          <w:rFonts w:hint="default" w:ascii="Times New Roman" w:hAnsi="Times New Roman" w:eastAsia="宋体" w:cs="Times New Roman"/>
          <w:color w:val="auto"/>
          <w:sz w:val="21"/>
          <w:highlight w:val="none"/>
        </w:rPr>
        <w:instrText xml:space="preserve"> = 1 \* GB3 </w:instrText>
      </w:r>
      <w:r>
        <w:rPr>
          <w:rFonts w:hint="default" w:ascii="Times New Roman" w:hAnsi="Times New Roman" w:eastAsia="宋体" w:cs="Times New Roman"/>
          <w:color w:val="auto"/>
          <w:sz w:val="21"/>
          <w:highlight w:val="none"/>
        </w:rPr>
        <w:fldChar w:fldCharType="separate"/>
      </w:r>
      <w:r>
        <w:rPr>
          <w:rFonts w:hint="default" w:ascii="Times New Roman" w:hAnsi="Times New Roman" w:eastAsia="宋体" w:cs="Times New Roman"/>
          <w:color w:val="auto"/>
          <w:sz w:val="21"/>
          <w:highlight w:val="none"/>
        </w:rPr>
        <w:t>①</w:t>
      </w:r>
      <w:r>
        <w:rPr>
          <w:rFonts w:hint="default" w:ascii="Times New Roman" w:hAnsi="Times New Roman" w:eastAsia="宋体" w:cs="Times New Roman"/>
          <w:color w:val="auto"/>
          <w:sz w:val="21"/>
          <w:highlight w:val="none"/>
        </w:rPr>
        <w:fldChar w:fldCharType="end"/>
      </w:r>
      <w:r>
        <w:rPr>
          <w:rFonts w:hint="default" w:ascii="Times New Roman" w:hAnsi="Times New Roman" w:eastAsia="宋体" w:cs="Times New Roman"/>
          <w:color w:val="auto"/>
          <w:sz w:val="21"/>
          <w:highlight w:val="none"/>
        </w:rPr>
        <w:t>C为废气污染物许可排放浓度限值</w:t>
      </w:r>
    </w:p>
    <w:p w14:paraId="2DB21C36">
      <w:pPr>
        <w:spacing w:line="360" w:lineRule="auto"/>
        <w:ind w:firstLine="420" w:firstLineChars="200"/>
        <w:contextualSpacing/>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燃煤锅炉执行《锅炉大气污染物排放标准》（GB13271-2014）表</w:t>
      </w:r>
      <w:r>
        <w:rPr>
          <w:rFonts w:hint="eastAsia" w:ascii="Times New Roman" w:hAnsi="Times New Roman" w:eastAsia="宋体" w:cs="Times New Roman"/>
          <w:color w:val="auto"/>
          <w:sz w:val="21"/>
          <w:highlight w:val="none"/>
          <w:lang w:val="en-US" w:eastAsia="zh-CN"/>
        </w:rPr>
        <w:t>1在用</w:t>
      </w:r>
      <w:r>
        <w:rPr>
          <w:rFonts w:hint="default" w:ascii="Times New Roman" w:hAnsi="Times New Roman" w:eastAsia="宋体" w:cs="Times New Roman"/>
          <w:color w:val="auto"/>
          <w:sz w:val="21"/>
          <w:highlight w:val="none"/>
        </w:rPr>
        <w:t>锅炉大气污染物排放浓度</w:t>
      </w:r>
      <w:r>
        <w:rPr>
          <w:rFonts w:hint="eastAsia" w:ascii="Times New Roman" w:hAnsi="Times New Roman" w:eastAsia="宋体" w:cs="Times New Roman"/>
          <w:color w:val="auto"/>
          <w:sz w:val="21"/>
          <w:highlight w:val="none"/>
          <w:lang w:val="en-US" w:eastAsia="zh-CN"/>
        </w:rPr>
        <w:t>限值</w:t>
      </w:r>
      <w:r>
        <w:rPr>
          <w:rFonts w:hint="default" w:ascii="Times New Roman" w:hAnsi="Times New Roman" w:eastAsia="宋体" w:cs="Times New Roman"/>
          <w:color w:val="auto"/>
          <w:sz w:val="21"/>
          <w:highlight w:val="none"/>
        </w:rPr>
        <w:t>，因此取值为颗粒物：</w:t>
      </w:r>
      <w:r>
        <w:rPr>
          <w:rFonts w:hint="eastAsia" w:ascii="Times New Roman" w:hAnsi="Times New Roman" w:eastAsia="宋体" w:cs="Times New Roman"/>
          <w:color w:val="auto"/>
          <w:sz w:val="21"/>
          <w:highlight w:val="none"/>
          <w:lang w:val="en-US" w:eastAsia="zh-CN"/>
        </w:rPr>
        <w:t>80</w:t>
      </w:r>
      <w:r>
        <w:rPr>
          <w:rFonts w:hint="default" w:ascii="Times New Roman" w:hAnsi="Times New Roman" w:eastAsia="宋体" w:cs="Times New Roman"/>
          <w:color w:val="auto"/>
          <w:sz w:val="21"/>
          <w:highlight w:val="none"/>
        </w:rPr>
        <w:t>mg/m</w:t>
      </w:r>
      <w:r>
        <w:rPr>
          <w:rFonts w:hint="default" w:ascii="Times New Roman" w:hAnsi="Times New Roman" w:eastAsia="宋体" w:cs="Times New Roman"/>
          <w:color w:val="auto"/>
          <w:sz w:val="21"/>
          <w:highlight w:val="none"/>
          <w:vertAlign w:val="superscript"/>
        </w:rPr>
        <w:t>3</w:t>
      </w:r>
      <w:r>
        <w:rPr>
          <w:rFonts w:hint="default" w:ascii="Times New Roman" w:hAnsi="Times New Roman" w:eastAsia="宋体" w:cs="Times New Roman"/>
          <w:color w:val="auto"/>
          <w:sz w:val="21"/>
          <w:highlight w:val="none"/>
        </w:rPr>
        <w:t>、SO</w:t>
      </w:r>
      <w:r>
        <w:rPr>
          <w:rFonts w:hint="default" w:ascii="Times New Roman" w:hAnsi="Times New Roman" w:eastAsia="宋体" w:cs="Times New Roman"/>
          <w:color w:val="auto"/>
          <w:sz w:val="21"/>
          <w:highlight w:val="none"/>
          <w:vertAlign w:val="subscript"/>
        </w:rPr>
        <w:t>2</w:t>
      </w:r>
      <w:r>
        <w:rPr>
          <w:rFonts w:hint="default"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4</w:t>
      </w:r>
      <w:r>
        <w:rPr>
          <w:rFonts w:hint="default" w:ascii="Times New Roman" w:hAnsi="Times New Roman" w:eastAsia="宋体" w:cs="Times New Roman"/>
          <w:color w:val="auto"/>
          <w:sz w:val="21"/>
          <w:highlight w:val="none"/>
        </w:rPr>
        <w:t>00mg/m</w:t>
      </w:r>
      <w:r>
        <w:rPr>
          <w:rFonts w:hint="default" w:ascii="Times New Roman" w:hAnsi="Times New Roman" w:eastAsia="宋体" w:cs="Times New Roman"/>
          <w:color w:val="auto"/>
          <w:sz w:val="21"/>
          <w:highlight w:val="none"/>
          <w:vertAlign w:val="superscript"/>
        </w:rPr>
        <w:t>3</w:t>
      </w:r>
      <w:r>
        <w:rPr>
          <w:rFonts w:hint="default" w:ascii="Times New Roman" w:hAnsi="Times New Roman" w:eastAsia="宋体" w:cs="Times New Roman"/>
          <w:color w:val="auto"/>
          <w:sz w:val="21"/>
          <w:highlight w:val="none"/>
        </w:rPr>
        <w:t>、NO</w:t>
      </w:r>
      <w:r>
        <w:rPr>
          <w:rFonts w:hint="default" w:ascii="Times New Roman" w:hAnsi="Times New Roman" w:eastAsia="宋体" w:cs="Times New Roman"/>
          <w:color w:val="auto"/>
          <w:sz w:val="21"/>
          <w:highlight w:val="none"/>
          <w:vertAlign w:val="subscript"/>
        </w:rPr>
        <w:t>X</w:t>
      </w:r>
      <w:r>
        <w:rPr>
          <w:rFonts w:hint="default" w:ascii="Times New Roman" w:hAnsi="Times New Roman" w:eastAsia="宋体" w:cs="Times New Roman"/>
          <w:color w:val="auto"/>
          <w:sz w:val="21"/>
          <w:highlight w:val="none"/>
        </w:rPr>
        <w:t>：</w:t>
      </w:r>
      <w:r>
        <w:rPr>
          <w:rFonts w:hint="eastAsia" w:ascii="Times New Roman" w:hAnsi="Times New Roman" w:eastAsia="宋体" w:cs="Times New Roman"/>
          <w:color w:val="auto"/>
          <w:sz w:val="21"/>
          <w:highlight w:val="none"/>
          <w:lang w:val="en-US" w:eastAsia="zh-CN"/>
        </w:rPr>
        <w:t>4</w:t>
      </w:r>
      <w:r>
        <w:rPr>
          <w:rFonts w:hint="default" w:ascii="Times New Roman" w:hAnsi="Times New Roman" w:eastAsia="宋体" w:cs="Times New Roman"/>
          <w:color w:val="auto"/>
          <w:sz w:val="21"/>
          <w:highlight w:val="none"/>
        </w:rPr>
        <w:t>00mg/m</w:t>
      </w:r>
      <w:r>
        <w:rPr>
          <w:rFonts w:hint="default" w:ascii="Times New Roman" w:hAnsi="Times New Roman" w:eastAsia="宋体" w:cs="Times New Roman"/>
          <w:color w:val="auto"/>
          <w:sz w:val="21"/>
          <w:highlight w:val="none"/>
          <w:vertAlign w:val="superscript"/>
        </w:rPr>
        <w:t>3</w:t>
      </w:r>
      <w:r>
        <w:rPr>
          <w:rFonts w:hint="default" w:ascii="Times New Roman" w:hAnsi="Times New Roman" w:eastAsia="宋体" w:cs="Times New Roman"/>
          <w:color w:val="auto"/>
          <w:sz w:val="21"/>
          <w:highlight w:val="none"/>
        </w:rPr>
        <w:t>。</w:t>
      </w:r>
    </w:p>
    <w:p w14:paraId="28D1A38A">
      <w:pPr>
        <w:spacing w:line="360" w:lineRule="auto"/>
        <w:ind w:firstLine="420" w:firstLineChars="2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fldChar w:fldCharType="begin"/>
      </w:r>
      <w:r>
        <w:rPr>
          <w:rFonts w:hint="default" w:ascii="Times New Roman" w:hAnsi="Times New Roman" w:eastAsia="宋体" w:cs="Times New Roman"/>
          <w:color w:val="auto"/>
          <w:sz w:val="21"/>
          <w:highlight w:val="none"/>
        </w:rPr>
        <w:instrText xml:space="preserve"> = 2 \* GB3 </w:instrText>
      </w:r>
      <w:r>
        <w:rPr>
          <w:rFonts w:hint="default" w:ascii="Times New Roman" w:hAnsi="Times New Roman" w:eastAsia="宋体" w:cs="Times New Roman"/>
          <w:color w:val="auto"/>
          <w:sz w:val="21"/>
          <w:highlight w:val="none"/>
        </w:rPr>
        <w:fldChar w:fldCharType="separate"/>
      </w:r>
      <w:r>
        <w:rPr>
          <w:rFonts w:hint="default" w:ascii="Times New Roman" w:hAnsi="Times New Roman" w:eastAsia="宋体" w:cs="Times New Roman"/>
          <w:color w:val="auto"/>
          <w:sz w:val="21"/>
          <w:highlight w:val="none"/>
        </w:rPr>
        <w:t>②</w:t>
      </w:r>
      <w:r>
        <w:rPr>
          <w:rFonts w:hint="default" w:ascii="Times New Roman" w:hAnsi="Times New Roman" w:eastAsia="宋体" w:cs="Times New Roman"/>
          <w:color w:val="auto"/>
          <w:sz w:val="21"/>
          <w:highlight w:val="none"/>
        </w:rPr>
        <w:fldChar w:fldCharType="end"/>
      </w:r>
      <w:r>
        <w:rPr>
          <w:rFonts w:hint="default" w:ascii="Times New Roman" w:hAnsi="Times New Roman" w:eastAsia="宋体" w:cs="Times New Roman"/>
          <w:color w:val="auto"/>
          <w:sz w:val="21"/>
          <w:highlight w:val="none"/>
        </w:rPr>
        <w:t>V为基准烟气量</w:t>
      </w:r>
    </w:p>
    <w:p w14:paraId="38F0D629">
      <w:pPr>
        <w:spacing w:line="360" w:lineRule="auto"/>
        <w:ind w:firstLine="420" w:firstLineChars="2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煤低位热值为26.94MJ/kg，根据表1可计算出本项目的基准烟气量，计算过程如下：</w:t>
      </w:r>
    </w:p>
    <w:p w14:paraId="187588EF">
      <w:pPr>
        <w:spacing w:line="360" w:lineRule="auto"/>
        <w:ind w:firstLine="420" w:firstLineChars="200"/>
        <w:rPr>
          <w:rFonts w:hint="default" w:ascii="Times New Roman" w:hAnsi="Times New Roman" w:eastAsia="宋体" w:cs="Times New Roman"/>
          <w:color w:val="auto"/>
          <w:sz w:val="21"/>
          <w:highlight w:val="none"/>
          <w:lang w:val="en-US" w:eastAsia="zh-CN"/>
        </w:rPr>
      </w:pPr>
      <w:r>
        <w:rPr>
          <w:rFonts w:hint="default" w:ascii="Times New Roman" w:hAnsi="Times New Roman" w:eastAsia="宋体" w:cs="Times New Roman"/>
          <w:color w:val="auto"/>
          <w:sz w:val="21"/>
          <w:highlight w:val="none"/>
        </w:rPr>
        <w:t>V</w:t>
      </w:r>
      <w:r>
        <w:rPr>
          <w:rFonts w:hint="default" w:ascii="Times New Roman" w:hAnsi="Times New Roman" w:eastAsia="宋体" w:cs="Times New Roman"/>
          <w:color w:val="auto"/>
          <w:sz w:val="21"/>
          <w:highlight w:val="none"/>
          <w:vertAlign w:val="subscript"/>
        </w:rPr>
        <w:t>gy</w:t>
      </w:r>
      <w:r>
        <w:rPr>
          <w:rFonts w:hint="default" w:ascii="Times New Roman" w:hAnsi="Times New Roman" w:eastAsia="宋体" w:cs="Times New Roman"/>
          <w:color w:val="auto"/>
          <w:sz w:val="21"/>
          <w:highlight w:val="none"/>
        </w:rPr>
        <w:t>=0.411Q</w:t>
      </w:r>
      <w:r>
        <w:rPr>
          <w:rFonts w:hint="default" w:ascii="Times New Roman" w:hAnsi="Times New Roman" w:eastAsia="宋体" w:cs="Times New Roman"/>
          <w:color w:val="auto"/>
          <w:sz w:val="21"/>
          <w:highlight w:val="none"/>
          <w:vertAlign w:val="subscript"/>
        </w:rPr>
        <w:t>net，ar</w:t>
      </w:r>
      <w:r>
        <w:rPr>
          <w:rFonts w:hint="default" w:ascii="Times New Roman" w:hAnsi="Times New Roman" w:eastAsia="宋体" w:cs="Times New Roman"/>
          <w:color w:val="auto"/>
          <w:sz w:val="21"/>
          <w:highlight w:val="none"/>
        </w:rPr>
        <w:t>+0.918=</w:t>
      </w:r>
      <w:r>
        <w:rPr>
          <w:rFonts w:hint="default" w:ascii="Times New Roman" w:hAnsi="Times New Roman" w:eastAsia="宋体" w:cs="Times New Roman"/>
          <w:color w:val="auto"/>
          <w:sz w:val="21"/>
          <w:highlight w:val="none"/>
          <w:lang w:val="en-US" w:eastAsia="zh-CN"/>
        </w:rPr>
        <w:t>11.99</w:t>
      </w:r>
    </w:p>
    <w:p w14:paraId="312B0189">
      <w:pPr>
        <w:spacing w:line="360" w:lineRule="auto"/>
        <w:ind w:firstLine="420" w:firstLineChars="2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fldChar w:fldCharType="begin"/>
      </w:r>
      <w:r>
        <w:rPr>
          <w:rFonts w:hint="default" w:ascii="Times New Roman" w:hAnsi="Times New Roman" w:eastAsia="宋体" w:cs="Times New Roman"/>
          <w:color w:val="auto"/>
          <w:sz w:val="21"/>
          <w:highlight w:val="none"/>
        </w:rPr>
        <w:instrText xml:space="preserve"> = 3 \* GB3 </w:instrText>
      </w:r>
      <w:r>
        <w:rPr>
          <w:rFonts w:hint="default" w:ascii="Times New Roman" w:hAnsi="Times New Roman" w:eastAsia="宋体" w:cs="Times New Roman"/>
          <w:color w:val="auto"/>
          <w:sz w:val="21"/>
          <w:highlight w:val="none"/>
        </w:rPr>
        <w:fldChar w:fldCharType="separate"/>
      </w:r>
      <w:r>
        <w:rPr>
          <w:rFonts w:hint="default" w:ascii="Times New Roman" w:hAnsi="Times New Roman" w:eastAsia="宋体" w:cs="Times New Roman"/>
          <w:color w:val="auto"/>
          <w:sz w:val="21"/>
          <w:highlight w:val="none"/>
        </w:rPr>
        <w:t>③</w:t>
      </w:r>
      <w:r>
        <w:rPr>
          <w:rFonts w:hint="default" w:ascii="Times New Roman" w:hAnsi="Times New Roman" w:eastAsia="宋体" w:cs="Times New Roman"/>
          <w:color w:val="auto"/>
          <w:sz w:val="21"/>
          <w:highlight w:val="none"/>
        </w:rPr>
        <w:fldChar w:fldCharType="end"/>
      </w:r>
      <w:r>
        <w:rPr>
          <w:rFonts w:hint="default" w:ascii="Times New Roman" w:hAnsi="Times New Roman" w:eastAsia="宋体" w:cs="Times New Roman"/>
          <w:color w:val="auto"/>
          <w:sz w:val="21"/>
          <w:highlight w:val="none"/>
        </w:rPr>
        <w:t>R为设计燃料用量</w:t>
      </w:r>
    </w:p>
    <w:p w14:paraId="0A527ED3">
      <w:pPr>
        <w:spacing w:line="360" w:lineRule="auto"/>
        <w:ind w:firstLine="420" w:firstLineChars="200"/>
        <w:rPr>
          <w:rFonts w:hint="default" w:ascii="Times New Roman" w:hAnsi="Times New Roman" w:eastAsia="宋体" w:cs="Times New Roman"/>
          <w:color w:val="auto"/>
          <w:kern w:val="0"/>
          <w:sz w:val="21"/>
          <w:highlight w:val="none"/>
        </w:rPr>
      </w:pPr>
      <w:r>
        <w:rPr>
          <w:rFonts w:hint="default" w:ascii="Times New Roman" w:hAnsi="Times New Roman" w:eastAsia="宋体" w:cs="Times New Roman"/>
          <w:color w:val="auto"/>
          <w:sz w:val="21"/>
          <w:highlight w:val="none"/>
        </w:rPr>
        <w:t>燃煤量为</w:t>
      </w:r>
      <w:r>
        <w:rPr>
          <w:rFonts w:hint="eastAsia" w:ascii="Times New Roman" w:hAnsi="Times New Roman" w:eastAsia="宋体" w:cs="Times New Roman"/>
          <w:color w:val="auto"/>
          <w:sz w:val="21"/>
          <w:highlight w:val="none"/>
          <w:lang w:val="en-US" w:eastAsia="zh-CN"/>
        </w:rPr>
        <w:t>4</w:t>
      </w:r>
      <w:r>
        <w:rPr>
          <w:rFonts w:hint="default" w:ascii="Times New Roman" w:hAnsi="Times New Roman" w:eastAsia="宋体" w:cs="Times New Roman"/>
          <w:b w:val="0"/>
          <w:bCs/>
          <w:color w:val="auto"/>
          <w:sz w:val="21"/>
          <w:highlight w:val="none"/>
          <w:lang w:val="en-US" w:eastAsia="zh-CN"/>
        </w:rPr>
        <w:t>00</w:t>
      </w:r>
      <w:r>
        <w:rPr>
          <w:rFonts w:hint="default" w:ascii="Times New Roman" w:hAnsi="Times New Roman" w:eastAsia="宋体" w:cs="Times New Roman"/>
          <w:color w:val="auto"/>
          <w:kern w:val="0"/>
          <w:sz w:val="21"/>
          <w:highlight w:val="none"/>
        </w:rPr>
        <w:t>t/a</w:t>
      </w:r>
      <w:r>
        <w:rPr>
          <w:rFonts w:hint="default" w:ascii="Times New Roman" w:hAnsi="Times New Roman" w:eastAsia="宋体" w:cs="Times New Roman"/>
          <w:color w:val="auto"/>
          <w:sz w:val="21"/>
          <w:highlight w:val="none"/>
        </w:rPr>
        <w:t>。</w:t>
      </w:r>
    </w:p>
    <w:p w14:paraId="4C52A39B">
      <w:pPr>
        <w:spacing w:line="360" w:lineRule="auto"/>
        <w:ind w:firstLine="420" w:firstLineChars="200"/>
        <w:contextualSpacing/>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因此污染物核定量计算过程如下：</w:t>
      </w:r>
    </w:p>
    <w:p w14:paraId="5C2037D2">
      <w:pPr>
        <w:spacing w:line="360" w:lineRule="auto"/>
        <w:ind w:firstLine="422" w:firstLineChars="200"/>
        <w:contextualSpacing/>
        <w:rPr>
          <w:rFonts w:hint="default" w:ascii="Times New Roman" w:hAnsi="Times New Roman" w:eastAsia="宋体" w:cs="Times New Roman"/>
          <w:b/>
          <w:bCs w:val="0"/>
          <w:color w:val="auto"/>
          <w:sz w:val="21"/>
          <w:highlight w:val="none"/>
        </w:rPr>
      </w:pPr>
      <w:r>
        <w:rPr>
          <w:rFonts w:hint="default" w:ascii="Times New Roman" w:hAnsi="Times New Roman" w:eastAsia="宋体" w:cs="Times New Roman"/>
          <w:b/>
          <w:color w:val="auto"/>
          <w:sz w:val="21"/>
          <w:highlight w:val="none"/>
        </w:rPr>
        <w:t>颗粒物=</w:t>
      </w:r>
      <w:r>
        <w:rPr>
          <w:rFonts w:hint="eastAsia" w:ascii="Times New Roman" w:hAnsi="Times New Roman" w:eastAsia="宋体" w:cs="Times New Roman"/>
          <w:b/>
          <w:color w:val="auto"/>
          <w:sz w:val="21"/>
          <w:highlight w:val="none"/>
          <w:lang w:val="en-US" w:eastAsia="zh-CN"/>
        </w:rPr>
        <w:t>8</w:t>
      </w:r>
      <w:r>
        <w:rPr>
          <w:rFonts w:hint="default" w:ascii="Times New Roman" w:hAnsi="Times New Roman" w:eastAsia="宋体" w:cs="Times New Roman"/>
          <w:b/>
          <w:color w:val="auto"/>
          <w:sz w:val="21"/>
          <w:highlight w:val="none"/>
        </w:rPr>
        <w:t>0×</w:t>
      </w:r>
      <w:r>
        <w:rPr>
          <w:rFonts w:hint="default" w:ascii="Times New Roman" w:hAnsi="Times New Roman" w:eastAsia="宋体" w:cs="Times New Roman"/>
          <w:b/>
          <w:bCs/>
          <w:color w:val="auto"/>
          <w:sz w:val="21"/>
          <w:highlight w:val="none"/>
          <w:lang w:val="en-US" w:eastAsia="zh-CN"/>
        </w:rPr>
        <w:t>11.99</w:t>
      </w:r>
      <w:r>
        <w:rPr>
          <w:rFonts w:hint="default" w:ascii="Times New Roman" w:hAnsi="Times New Roman" w:eastAsia="宋体" w:cs="Times New Roman"/>
          <w:b/>
          <w:bCs w:val="0"/>
          <w:color w:val="auto"/>
          <w:sz w:val="21"/>
          <w:highlight w:val="none"/>
        </w:rPr>
        <w:t>×</w:t>
      </w:r>
      <w:r>
        <w:rPr>
          <w:rFonts w:hint="eastAsia" w:ascii="Times New Roman" w:hAnsi="Times New Roman" w:eastAsia="宋体" w:cs="Times New Roman"/>
          <w:b/>
          <w:bCs w:val="0"/>
          <w:color w:val="auto"/>
          <w:sz w:val="21"/>
          <w:highlight w:val="none"/>
          <w:lang w:val="en-US" w:eastAsia="zh-CN"/>
        </w:rPr>
        <w:t>4</w:t>
      </w:r>
      <w:r>
        <w:rPr>
          <w:rFonts w:hint="default" w:ascii="Times New Roman" w:hAnsi="Times New Roman" w:eastAsia="宋体" w:cs="Times New Roman"/>
          <w:b/>
          <w:bCs w:val="0"/>
          <w:color w:val="auto"/>
          <w:sz w:val="21"/>
          <w:highlight w:val="none"/>
          <w:lang w:val="en-US" w:eastAsia="zh-CN"/>
        </w:rPr>
        <w:t>00</w:t>
      </w:r>
      <w:r>
        <w:rPr>
          <w:rFonts w:hint="default" w:ascii="Times New Roman" w:hAnsi="Times New Roman" w:eastAsia="宋体" w:cs="Times New Roman"/>
          <w:b/>
          <w:bCs w:val="0"/>
          <w:color w:val="auto"/>
          <w:sz w:val="21"/>
          <w:highlight w:val="none"/>
        </w:rPr>
        <w:t>×1×10</w:t>
      </w:r>
      <w:r>
        <w:rPr>
          <w:rFonts w:hint="default" w:ascii="Times New Roman" w:hAnsi="Times New Roman" w:eastAsia="宋体" w:cs="Times New Roman"/>
          <w:b/>
          <w:bCs w:val="0"/>
          <w:color w:val="auto"/>
          <w:sz w:val="21"/>
          <w:highlight w:val="none"/>
          <w:vertAlign w:val="superscript"/>
        </w:rPr>
        <w:t>-6</w:t>
      </w:r>
      <w:r>
        <w:rPr>
          <w:rFonts w:hint="default" w:ascii="Times New Roman" w:hAnsi="Times New Roman" w:eastAsia="宋体" w:cs="Times New Roman"/>
          <w:b/>
          <w:bCs w:val="0"/>
          <w:color w:val="auto"/>
          <w:sz w:val="21"/>
          <w:highlight w:val="none"/>
        </w:rPr>
        <w:t>=</w:t>
      </w:r>
      <w:r>
        <w:rPr>
          <w:rFonts w:hint="default" w:ascii="Times New Roman" w:hAnsi="Times New Roman" w:eastAsia="宋体" w:cs="Times New Roman"/>
          <w:b/>
          <w:bCs w:val="0"/>
          <w:color w:val="auto"/>
          <w:sz w:val="21"/>
          <w:highlight w:val="none"/>
          <w:lang w:val="en-US" w:eastAsia="zh-CN"/>
        </w:rPr>
        <w:t>0.</w:t>
      </w:r>
      <w:r>
        <w:rPr>
          <w:rFonts w:hint="eastAsia" w:ascii="Times New Roman" w:hAnsi="Times New Roman" w:eastAsia="宋体" w:cs="Times New Roman"/>
          <w:b/>
          <w:bCs w:val="0"/>
          <w:color w:val="auto"/>
          <w:sz w:val="21"/>
          <w:highlight w:val="none"/>
          <w:lang w:val="en-US" w:eastAsia="zh-CN"/>
        </w:rPr>
        <w:t>3</w:t>
      </w:r>
      <w:r>
        <w:rPr>
          <w:rFonts w:hint="eastAsia" w:cs="Times New Roman"/>
          <w:b/>
          <w:bCs w:val="0"/>
          <w:color w:val="auto"/>
          <w:sz w:val="21"/>
          <w:highlight w:val="none"/>
          <w:lang w:val="en-US" w:eastAsia="zh-CN"/>
        </w:rPr>
        <w:t>8</w:t>
      </w:r>
      <w:r>
        <w:rPr>
          <w:rFonts w:hint="default" w:ascii="Times New Roman" w:hAnsi="Times New Roman" w:eastAsia="宋体" w:cs="Times New Roman"/>
          <w:b/>
          <w:bCs w:val="0"/>
          <w:color w:val="auto"/>
          <w:sz w:val="21"/>
          <w:highlight w:val="none"/>
        </w:rPr>
        <w:t>t/a</w:t>
      </w:r>
    </w:p>
    <w:p w14:paraId="3AC9015A">
      <w:pPr>
        <w:spacing w:line="360" w:lineRule="auto"/>
        <w:ind w:firstLine="422" w:firstLineChars="200"/>
        <w:contextualSpacing/>
        <w:rPr>
          <w:rFonts w:hint="default" w:ascii="Times New Roman" w:hAnsi="Times New Roman" w:eastAsia="宋体" w:cs="Times New Roman"/>
          <w:b/>
          <w:bCs w:val="0"/>
          <w:color w:val="auto"/>
          <w:sz w:val="21"/>
          <w:highlight w:val="none"/>
        </w:rPr>
      </w:pPr>
      <w:r>
        <w:rPr>
          <w:rFonts w:hint="default" w:ascii="Times New Roman" w:hAnsi="Times New Roman" w:eastAsia="宋体" w:cs="Times New Roman"/>
          <w:b/>
          <w:bCs w:val="0"/>
          <w:color w:val="auto"/>
          <w:sz w:val="21"/>
          <w:highlight w:val="none"/>
        </w:rPr>
        <w:t>SO</w:t>
      </w:r>
      <w:r>
        <w:rPr>
          <w:rFonts w:hint="default" w:ascii="Times New Roman" w:hAnsi="Times New Roman" w:eastAsia="宋体" w:cs="Times New Roman"/>
          <w:b/>
          <w:bCs w:val="0"/>
          <w:color w:val="auto"/>
          <w:sz w:val="21"/>
          <w:highlight w:val="none"/>
          <w:vertAlign w:val="subscript"/>
        </w:rPr>
        <w:t>2</w:t>
      </w:r>
      <w:r>
        <w:rPr>
          <w:rFonts w:hint="default" w:ascii="Times New Roman" w:hAnsi="Times New Roman" w:eastAsia="宋体" w:cs="Times New Roman"/>
          <w:b/>
          <w:bCs w:val="0"/>
          <w:color w:val="auto"/>
          <w:sz w:val="21"/>
          <w:highlight w:val="none"/>
        </w:rPr>
        <w:t>=</w:t>
      </w:r>
      <w:r>
        <w:rPr>
          <w:rFonts w:hint="eastAsia" w:ascii="Times New Roman" w:hAnsi="Times New Roman" w:eastAsia="宋体" w:cs="Times New Roman"/>
          <w:b/>
          <w:bCs w:val="0"/>
          <w:color w:val="auto"/>
          <w:sz w:val="21"/>
          <w:highlight w:val="none"/>
          <w:lang w:val="en-US" w:eastAsia="zh-CN"/>
        </w:rPr>
        <w:t>4</w:t>
      </w:r>
      <w:r>
        <w:rPr>
          <w:rFonts w:hint="default" w:ascii="Times New Roman" w:hAnsi="Times New Roman" w:eastAsia="宋体" w:cs="Times New Roman"/>
          <w:b/>
          <w:bCs w:val="0"/>
          <w:color w:val="auto"/>
          <w:sz w:val="21"/>
          <w:highlight w:val="none"/>
        </w:rPr>
        <w:t>00×</w:t>
      </w:r>
      <w:r>
        <w:rPr>
          <w:rFonts w:hint="default" w:ascii="Times New Roman" w:hAnsi="Times New Roman" w:eastAsia="宋体" w:cs="Times New Roman"/>
          <w:b/>
          <w:bCs/>
          <w:color w:val="auto"/>
          <w:sz w:val="21"/>
          <w:highlight w:val="none"/>
          <w:lang w:val="en-US" w:eastAsia="zh-CN"/>
        </w:rPr>
        <w:t>11.99</w:t>
      </w:r>
      <w:r>
        <w:rPr>
          <w:rFonts w:hint="default" w:ascii="Times New Roman" w:hAnsi="Times New Roman" w:eastAsia="宋体" w:cs="Times New Roman"/>
          <w:b/>
          <w:bCs w:val="0"/>
          <w:color w:val="auto"/>
          <w:sz w:val="21"/>
          <w:highlight w:val="none"/>
        </w:rPr>
        <w:t>×</w:t>
      </w:r>
      <w:r>
        <w:rPr>
          <w:rFonts w:hint="eastAsia" w:ascii="Times New Roman" w:hAnsi="Times New Roman" w:eastAsia="宋体" w:cs="Times New Roman"/>
          <w:b/>
          <w:bCs w:val="0"/>
          <w:color w:val="auto"/>
          <w:sz w:val="21"/>
          <w:highlight w:val="none"/>
          <w:lang w:val="en-US" w:eastAsia="zh-CN"/>
        </w:rPr>
        <w:t>4</w:t>
      </w:r>
      <w:r>
        <w:rPr>
          <w:rFonts w:hint="default" w:ascii="Times New Roman" w:hAnsi="Times New Roman" w:eastAsia="宋体" w:cs="Times New Roman"/>
          <w:b/>
          <w:bCs w:val="0"/>
          <w:color w:val="auto"/>
          <w:sz w:val="21"/>
          <w:highlight w:val="none"/>
          <w:lang w:val="en-US" w:eastAsia="zh-CN"/>
        </w:rPr>
        <w:t>00</w:t>
      </w:r>
      <w:r>
        <w:rPr>
          <w:rFonts w:hint="default" w:ascii="Times New Roman" w:hAnsi="Times New Roman" w:eastAsia="宋体" w:cs="Times New Roman"/>
          <w:b/>
          <w:bCs w:val="0"/>
          <w:color w:val="auto"/>
          <w:sz w:val="21"/>
          <w:highlight w:val="none"/>
        </w:rPr>
        <w:t>×0.8×10</w:t>
      </w:r>
      <w:r>
        <w:rPr>
          <w:rFonts w:hint="default" w:ascii="Times New Roman" w:hAnsi="Times New Roman" w:eastAsia="宋体" w:cs="Times New Roman"/>
          <w:b/>
          <w:bCs w:val="0"/>
          <w:color w:val="auto"/>
          <w:sz w:val="21"/>
          <w:highlight w:val="none"/>
          <w:vertAlign w:val="superscript"/>
        </w:rPr>
        <w:t>-6</w:t>
      </w:r>
      <w:r>
        <w:rPr>
          <w:rFonts w:hint="default" w:ascii="Times New Roman" w:hAnsi="Times New Roman" w:eastAsia="宋体" w:cs="Times New Roman"/>
          <w:b/>
          <w:bCs w:val="0"/>
          <w:color w:val="auto"/>
          <w:sz w:val="21"/>
          <w:highlight w:val="none"/>
        </w:rPr>
        <w:t>=</w:t>
      </w:r>
      <w:r>
        <w:rPr>
          <w:rFonts w:hint="eastAsia" w:ascii="Times New Roman" w:hAnsi="Times New Roman" w:eastAsia="宋体" w:cs="Times New Roman"/>
          <w:b/>
          <w:color w:val="auto"/>
          <w:sz w:val="21"/>
          <w:highlight w:val="none"/>
          <w:lang w:val="en-US" w:eastAsia="zh-CN"/>
        </w:rPr>
        <w:t>1.53</w:t>
      </w:r>
      <w:r>
        <w:rPr>
          <w:rFonts w:hint="default" w:ascii="Times New Roman" w:hAnsi="Times New Roman" w:eastAsia="宋体" w:cs="Times New Roman"/>
          <w:b/>
          <w:bCs w:val="0"/>
          <w:color w:val="auto"/>
          <w:sz w:val="21"/>
          <w:highlight w:val="none"/>
        </w:rPr>
        <w:t>t/a</w:t>
      </w:r>
    </w:p>
    <w:p w14:paraId="2D82CD04">
      <w:pPr>
        <w:spacing w:line="360" w:lineRule="auto"/>
        <w:ind w:firstLine="422" w:firstLineChars="200"/>
        <w:contextualSpacing/>
        <w:rPr>
          <w:rFonts w:hint="default" w:ascii="Times New Roman" w:hAnsi="Times New Roman" w:eastAsia="宋体" w:cs="Times New Roman"/>
          <w:b/>
          <w:color w:val="auto"/>
          <w:sz w:val="21"/>
          <w:highlight w:val="none"/>
        </w:rPr>
      </w:pPr>
      <w:r>
        <w:rPr>
          <w:rFonts w:hint="default" w:ascii="Times New Roman" w:hAnsi="Times New Roman" w:eastAsia="宋体" w:cs="Times New Roman"/>
          <w:b/>
          <w:bCs w:val="0"/>
          <w:color w:val="auto"/>
          <w:sz w:val="21"/>
          <w:highlight w:val="none"/>
        </w:rPr>
        <w:t>NO</w:t>
      </w:r>
      <w:r>
        <w:rPr>
          <w:rFonts w:hint="default" w:ascii="Times New Roman" w:hAnsi="Times New Roman" w:eastAsia="宋体" w:cs="Times New Roman"/>
          <w:b/>
          <w:bCs w:val="0"/>
          <w:color w:val="auto"/>
          <w:sz w:val="21"/>
          <w:highlight w:val="none"/>
          <w:vertAlign w:val="subscript"/>
        </w:rPr>
        <w:t>X</w:t>
      </w:r>
      <w:r>
        <w:rPr>
          <w:rFonts w:hint="default" w:ascii="Times New Roman" w:hAnsi="Times New Roman" w:eastAsia="宋体" w:cs="Times New Roman"/>
          <w:b/>
          <w:bCs w:val="0"/>
          <w:color w:val="auto"/>
          <w:sz w:val="21"/>
          <w:highlight w:val="none"/>
        </w:rPr>
        <w:t>=</w:t>
      </w:r>
      <w:r>
        <w:rPr>
          <w:rFonts w:hint="eastAsia" w:ascii="Times New Roman" w:hAnsi="Times New Roman" w:eastAsia="宋体" w:cs="Times New Roman"/>
          <w:b/>
          <w:bCs w:val="0"/>
          <w:color w:val="auto"/>
          <w:sz w:val="21"/>
          <w:highlight w:val="none"/>
          <w:lang w:val="en-US" w:eastAsia="zh-CN"/>
        </w:rPr>
        <w:t>4</w:t>
      </w:r>
      <w:r>
        <w:rPr>
          <w:rFonts w:hint="default" w:ascii="Times New Roman" w:hAnsi="Times New Roman" w:eastAsia="宋体" w:cs="Times New Roman"/>
          <w:b/>
          <w:bCs w:val="0"/>
          <w:color w:val="auto"/>
          <w:sz w:val="21"/>
          <w:highlight w:val="none"/>
        </w:rPr>
        <w:t>00×</w:t>
      </w:r>
      <w:r>
        <w:rPr>
          <w:rFonts w:hint="default" w:ascii="Times New Roman" w:hAnsi="Times New Roman" w:eastAsia="宋体" w:cs="Times New Roman"/>
          <w:b/>
          <w:bCs/>
          <w:color w:val="auto"/>
          <w:sz w:val="21"/>
          <w:highlight w:val="none"/>
          <w:lang w:val="en-US" w:eastAsia="zh-CN"/>
        </w:rPr>
        <w:t>11.99</w:t>
      </w:r>
      <w:r>
        <w:rPr>
          <w:rFonts w:hint="default" w:ascii="Times New Roman" w:hAnsi="Times New Roman" w:eastAsia="宋体" w:cs="Times New Roman"/>
          <w:b/>
          <w:bCs w:val="0"/>
          <w:color w:val="auto"/>
          <w:sz w:val="21"/>
          <w:highlight w:val="none"/>
        </w:rPr>
        <w:t>×</w:t>
      </w:r>
      <w:r>
        <w:rPr>
          <w:rFonts w:hint="eastAsia" w:ascii="Times New Roman" w:hAnsi="Times New Roman" w:eastAsia="宋体" w:cs="Times New Roman"/>
          <w:b/>
          <w:bCs w:val="0"/>
          <w:color w:val="auto"/>
          <w:sz w:val="21"/>
          <w:highlight w:val="none"/>
          <w:lang w:val="en-US" w:eastAsia="zh-CN"/>
        </w:rPr>
        <w:t>4</w:t>
      </w:r>
      <w:r>
        <w:rPr>
          <w:rFonts w:hint="default" w:ascii="Times New Roman" w:hAnsi="Times New Roman" w:eastAsia="宋体" w:cs="Times New Roman"/>
          <w:b/>
          <w:bCs w:val="0"/>
          <w:color w:val="auto"/>
          <w:sz w:val="21"/>
          <w:highlight w:val="none"/>
          <w:lang w:val="en-US" w:eastAsia="zh-CN"/>
        </w:rPr>
        <w:t>00</w:t>
      </w:r>
      <w:r>
        <w:rPr>
          <w:rFonts w:hint="default" w:ascii="Times New Roman" w:hAnsi="Times New Roman" w:eastAsia="宋体" w:cs="Times New Roman"/>
          <w:b/>
          <w:bCs w:val="0"/>
          <w:color w:val="auto"/>
          <w:sz w:val="21"/>
          <w:highlight w:val="none"/>
        </w:rPr>
        <w:t>×</w:t>
      </w:r>
      <w:r>
        <w:rPr>
          <w:rFonts w:hint="default" w:ascii="Times New Roman" w:hAnsi="Times New Roman" w:eastAsia="宋体" w:cs="Times New Roman"/>
          <w:b/>
          <w:color w:val="auto"/>
          <w:sz w:val="21"/>
          <w:highlight w:val="none"/>
        </w:rPr>
        <w:t>1×10</w:t>
      </w:r>
      <w:r>
        <w:rPr>
          <w:rFonts w:hint="default" w:ascii="Times New Roman" w:hAnsi="Times New Roman" w:eastAsia="宋体" w:cs="Times New Roman"/>
          <w:b/>
          <w:color w:val="auto"/>
          <w:sz w:val="21"/>
          <w:highlight w:val="none"/>
          <w:vertAlign w:val="superscript"/>
        </w:rPr>
        <w:t>-6</w:t>
      </w:r>
      <w:r>
        <w:rPr>
          <w:rFonts w:hint="default" w:ascii="Times New Roman" w:hAnsi="Times New Roman" w:eastAsia="宋体" w:cs="Times New Roman"/>
          <w:b/>
          <w:color w:val="auto"/>
          <w:sz w:val="21"/>
          <w:highlight w:val="none"/>
        </w:rPr>
        <w:t>=</w:t>
      </w:r>
      <w:r>
        <w:rPr>
          <w:rFonts w:hint="eastAsia" w:ascii="Times New Roman" w:hAnsi="Times New Roman" w:eastAsia="宋体" w:cs="Times New Roman"/>
          <w:b/>
          <w:bCs w:val="0"/>
          <w:color w:val="auto"/>
          <w:sz w:val="21"/>
          <w:highlight w:val="none"/>
          <w:lang w:val="en-US" w:eastAsia="zh-CN"/>
        </w:rPr>
        <w:t>1.9</w:t>
      </w:r>
      <w:r>
        <w:rPr>
          <w:rFonts w:hint="eastAsia" w:cs="Times New Roman"/>
          <w:b/>
          <w:bCs w:val="0"/>
          <w:color w:val="auto"/>
          <w:sz w:val="21"/>
          <w:highlight w:val="none"/>
          <w:lang w:val="en-US" w:eastAsia="zh-CN"/>
        </w:rPr>
        <w:t>2</w:t>
      </w:r>
      <w:r>
        <w:rPr>
          <w:rFonts w:hint="default" w:ascii="Times New Roman" w:hAnsi="Times New Roman" w:eastAsia="宋体" w:cs="Times New Roman"/>
          <w:b/>
          <w:color w:val="auto"/>
          <w:sz w:val="21"/>
          <w:highlight w:val="none"/>
        </w:rPr>
        <w:t>t/a</w:t>
      </w:r>
    </w:p>
    <w:p w14:paraId="3B7DD906">
      <w:pPr>
        <w:spacing w:line="360" w:lineRule="auto"/>
        <w:jc w:val="left"/>
        <w:rPr>
          <w:rFonts w:hint="default" w:ascii="Times New Roman" w:hAnsi="Times New Roman" w:eastAsia="宋体" w:cs="Times New Roman"/>
          <w:b/>
          <w:color w:val="auto"/>
          <w:sz w:val="21"/>
          <w:highlight w:val="none"/>
          <w:lang w:val="en-US" w:eastAsia="zh-CN"/>
        </w:rPr>
      </w:pPr>
      <w:r>
        <w:rPr>
          <w:rFonts w:hint="default" w:ascii="Times New Roman" w:hAnsi="Times New Roman" w:eastAsia="宋体" w:cs="Times New Roman"/>
          <w:b/>
          <w:color w:val="auto"/>
          <w:sz w:val="21"/>
          <w:highlight w:val="none"/>
          <w:lang w:val="en-US" w:eastAsia="zh-CN"/>
        </w:rPr>
        <w:t>二、本项目污染物核定量计算</w:t>
      </w:r>
    </w:p>
    <w:p w14:paraId="29AAF00C">
      <w:pPr>
        <w:numPr>
          <w:ilvl w:val="0"/>
          <w:numId w:val="7"/>
        </w:numPr>
        <w:spacing w:line="360" w:lineRule="auto"/>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1"/>
          <w:highlight w:val="none"/>
        </w:rPr>
        <w:t>废气</w:t>
      </w:r>
    </w:p>
    <w:p w14:paraId="43BEF3A1">
      <w:pPr>
        <w:pStyle w:val="39"/>
        <w:numPr>
          <w:ilvl w:val="0"/>
          <w:numId w:val="0"/>
        </w:numPr>
        <w:ind w:right="0" w:rightChars="0"/>
        <w:rPr>
          <w:rFonts w:hint="default" w:ascii="Times New Roman" w:hAnsi="Times New Roman" w:eastAsia="宋体" w:cs="Times New Roman"/>
          <w:color w:val="auto"/>
          <w:sz w:val="21"/>
          <w:szCs w:val="24"/>
          <w:highlight w:val="none"/>
          <w:lang w:val="en-US" w:eastAsia="zh-CN"/>
        </w:rPr>
      </w:pPr>
      <w:r>
        <w:rPr>
          <w:rFonts w:hint="default" w:ascii="Times New Roman" w:hAnsi="Times New Roman" w:eastAsia="宋体" w:cs="Times New Roman"/>
          <w:color w:val="auto"/>
          <w:sz w:val="21"/>
          <w:szCs w:val="24"/>
          <w:highlight w:val="none"/>
          <w:lang w:val="en-US" w:eastAsia="zh-CN"/>
        </w:rPr>
        <w:t>（1）锅炉废气</w:t>
      </w:r>
    </w:p>
    <w:p w14:paraId="5FD84EB3">
      <w:pPr>
        <w:spacing w:line="360" w:lineRule="auto"/>
        <w:jc w:val="center"/>
        <w:rPr>
          <w:rFonts w:hint="default" w:ascii="Times New Roman" w:hAnsi="Times New Roman" w:eastAsia="宋体" w:cs="Times New Roman"/>
          <w:b/>
          <w:color w:val="auto"/>
          <w:sz w:val="21"/>
          <w:highlight w:val="none"/>
        </w:rPr>
      </w:pPr>
      <w:r>
        <w:rPr>
          <w:rFonts w:hint="default" w:ascii="Times New Roman" w:hAnsi="Times New Roman" w:eastAsia="宋体" w:cs="Times New Roman"/>
          <w:b/>
          <w:color w:val="auto"/>
          <w:sz w:val="21"/>
          <w:highlight w:val="none"/>
        </w:rPr>
        <w:t>表</w:t>
      </w:r>
      <w:r>
        <w:rPr>
          <w:rFonts w:hint="default" w:ascii="Times New Roman" w:hAnsi="Times New Roman" w:eastAsia="宋体" w:cs="Times New Roman"/>
          <w:b/>
          <w:color w:val="auto"/>
          <w:sz w:val="21"/>
          <w:highlight w:val="none"/>
          <w:lang w:val="en-US" w:eastAsia="zh-CN"/>
        </w:rPr>
        <w:t>3</w:t>
      </w:r>
      <w:r>
        <w:rPr>
          <w:rFonts w:hint="default" w:ascii="Times New Roman" w:hAnsi="Times New Roman" w:eastAsia="宋体" w:cs="Times New Roman"/>
          <w:b/>
          <w:color w:val="auto"/>
          <w:sz w:val="21"/>
          <w:highlight w:val="none"/>
        </w:rPr>
        <w:t xml:space="preserve"> 大气污染物许可排放量调整系数取值表</w:t>
      </w:r>
    </w:p>
    <w:tbl>
      <w:tblPr>
        <w:tblStyle w:val="4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89"/>
        <w:gridCol w:w="3981"/>
        <w:gridCol w:w="1134"/>
        <w:gridCol w:w="1134"/>
        <w:gridCol w:w="992"/>
      </w:tblGrid>
      <w:tr w14:paraId="59D46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70" w:type="dxa"/>
            <w:gridSpan w:val="2"/>
            <w:vAlign w:val="center"/>
          </w:tcPr>
          <w:p w14:paraId="2649C0D8">
            <w:pPr>
              <w:spacing w:line="0" w:lineRule="atLeast"/>
              <w:contextualSpacing/>
              <w:jc w:val="righ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mc:AlternateContent>
                <mc:Choice Requires="wps">
                  <w:drawing>
                    <wp:anchor distT="0" distB="0" distL="114300" distR="114300" simplePos="0" relativeHeight="251666432" behindDoc="0" locked="0" layoutInCell="1" allowOverlap="1">
                      <wp:simplePos x="0" y="0"/>
                      <wp:positionH relativeFrom="column">
                        <wp:posOffset>-57150</wp:posOffset>
                      </wp:positionH>
                      <wp:positionV relativeFrom="paragraph">
                        <wp:posOffset>19685</wp:posOffset>
                      </wp:positionV>
                      <wp:extent cx="3198495" cy="296545"/>
                      <wp:effectExtent l="635" t="4445" r="1270" b="22860"/>
                      <wp:wrapNone/>
                      <wp:docPr id="94" name="直接箭头连接符 94"/>
                      <wp:cNvGraphicFramePr/>
                      <a:graphic xmlns:a="http://schemas.openxmlformats.org/drawingml/2006/main">
                        <a:graphicData uri="http://schemas.microsoft.com/office/word/2010/wordprocessingShape">
                          <wps:wsp>
                            <wps:cNvCnPr/>
                            <wps:spPr>
                              <a:xfrm>
                                <a:off x="0" y="0"/>
                                <a:ext cx="3198495" cy="2965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5pt;margin-top:1.55pt;height:23.35pt;width:251.85pt;z-index:251666432;mso-width-relative:page;mso-height-relative:page;" filled="f" stroked="t" coordsize="21600,21600" o:gfxdata="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6YuedcAAAAHAQAADwAAAAAAAAABACAAAAAiAAAAZHJzL2Rv&#10;d25yZXYueG1sUEsBAhQAFAAAAAgAh07iQFEKBt4CAgAA8wMAAA4AAAAAAAAAAQAgAAAAJgEAAGRy&#10;cy9lMm9Eb2MueG1sUEsFBgAAAAAGAAYAWQEAAJoFAAAAAA==&#10;">
                      <v:fill on="f" focussize="0,0"/>
                      <v:stroke color="#000000" joinstyle="round"/>
                      <v:imagedata o:title=""/>
                      <o:lock v:ext="edit" aspectratio="f"/>
                    </v:shape>
                  </w:pict>
                </mc:Fallback>
              </mc:AlternateContent>
            </w:r>
            <w:r>
              <w:rPr>
                <w:rFonts w:hint="default" w:ascii="Times New Roman" w:hAnsi="Times New Roman" w:eastAsia="宋体" w:cs="Times New Roman"/>
                <w:color w:val="auto"/>
                <w:sz w:val="21"/>
                <w:szCs w:val="21"/>
                <w:highlight w:val="none"/>
              </w:rPr>
              <w:t>污染物项目</w:t>
            </w:r>
          </w:p>
          <w:p w14:paraId="59A38060">
            <w:pPr>
              <w:spacing w:line="0" w:lineRule="atLeast"/>
              <w:contextualSpacing/>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锅炉排污单位执行标准</w:t>
            </w:r>
          </w:p>
        </w:tc>
        <w:tc>
          <w:tcPr>
            <w:tcW w:w="1134" w:type="dxa"/>
            <w:vAlign w:val="center"/>
          </w:tcPr>
          <w:p w14:paraId="23D40529">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二氧化硫</w:t>
            </w:r>
          </w:p>
        </w:tc>
        <w:tc>
          <w:tcPr>
            <w:tcW w:w="1134" w:type="dxa"/>
            <w:vAlign w:val="center"/>
          </w:tcPr>
          <w:p w14:paraId="4827119E">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氮氧化物</w:t>
            </w:r>
          </w:p>
        </w:tc>
        <w:tc>
          <w:tcPr>
            <w:tcW w:w="992" w:type="dxa"/>
            <w:vAlign w:val="center"/>
          </w:tcPr>
          <w:p w14:paraId="3E2CDD7A">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颗粒物</w:t>
            </w:r>
          </w:p>
        </w:tc>
      </w:tr>
      <w:tr w14:paraId="27E68D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70" w:type="dxa"/>
            <w:gridSpan w:val="2"/>
            <w:vAlign w:val="center"/>
          </w:tcPr>
          <w:p w14:paraId="55568006">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GB13271</w:t>
            </w:r>
          </w:p>
        </w:tc>
        <w:tc>
          <w:tcPr>
            <w:tcW w:w="1134" w:type="dxa"/>
            <w:vAlign w:val="center"/>
          </w:tcPr>
          <w:p w14:paraId="2A8C2949">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w:t>
            </w:r>
          </w:p>
        </w:tc>
        <w:tc>
          <w:tcPr>
            <w:tcW w:w="1134" w:type="dxa"/>
            <w:vAlign w:val="center"/>
          </w:tcPr>
          <w:p w14:paraId="006DB6E8">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992" w:type="dxa"/>
            <w:vAlign w:val="center"/>
          </w:tcPr>
          <w:p w14:paraId="2FF9352A">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r>
      <w:tr w14:paraId="760FE1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restart"/>
            <w:vAlign w:val="center"/>
          </w:tcPr>
          <w:p w14:paraId="39F5FEE7">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地方标准</w:t>
            </w:r>
          </w:p>
        </w:tc>
        <w:tc>
          <w:tcPr>
            <w:tcW w:w="3981" w:type="dxa"/>
            <w:vAlign w:val="center"/>
          </w:tcPr>
          <w:p w14:paraId="35698219">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标准限值＞0.8倍GB13271特别排放限值</w:t>
            </w:r>
          </w:p>
        </w:tc>
        <w:tc>
          <w:tcPr>
            <w:tcW w:w="1134" w:type="dxa"/>
            <w:vAlign w:val="center"/>
          </w:tcPr>
          <w:p w14:paraId="32A45A2C">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w:t>
            </w:r>
          </w:p>
        </w:tc>
        <w:tc>
          <w:tcPr>
            <w:tcW w:w="1134" w:type="dxa"/>
            <w:vAlign w:val="center"/>
          </w:tcPr>
          <w:p w14:paraId="7F40850E">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992" w:type="dxa"/>
            <w:vAlign w:val="center"/>
          </w:tcPr>
          <w:p w14:paraId="31750705">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r>
      <w:tr w14:paraId="76ADB6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9" w:type="dxa"/>
            <w:vMerge w:val="continue"/>
            <w:vAlign w:val="center"/>
          </w:tcPr>
          <w:p w14:paraId="762E4641">
            <w:pPr>
              <w:spacing w:line="0" w:lineRule="atLeast"/>
              <w:contextualSpacing/>
              <w:jc w:val="center"/>
              <w:rPr>
                <w:rFonts w:hint="default" w:ascii="Times New Roman" w:hAnsi="Times New Roman" w:eastAsia="宋体" w:cs="Times New Roman"/>
                <w:color w:val="auto"/>
                <w:sz w:val="21"/>
                <w:szCs w:val="21"/>
                <w:highlight w:val="none"/>
              </w:rPr>
            </w:pPr>
          </w:p>
        </w:tc>
        <w:tc>
          <w:tcPr>
            <w:tcW w:w="3981" w:type="dxa"/>
            <w:vAlign w:val="center"/>
          </w:tcPr>
          <w:p w14:paraId="4341C35F">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标准限值≤0.8倍GB13271特别排放限值</w:t>
            </w:r>
          </w:p>
        </w:tc>
        <w:tc>
          <w:tcPr>
            <w:tcW w:w="1134" w:type="dxa"/>
            <w:vAlign w:val="center"/>
          </w:tcPr>
          <w:p w14:paraId="324F002A">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34" w:type="dxa"/>
            <w:vAlign w:val="center"/>
          </w:tcPr>
          <w:p w14:paraId="0E8CC0DB">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992" w:type="dxa"/>
            <w:vAlign w:val="center"/>
          </w:tcPr>
          <w:p w14:paraId="227FC80B">
            <w:pPr>
              <w:spacing w:line="0" w:lineRule="atLeast"/>
              <w:contextualSpacing/>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r>
    </w:tbl>
    <w:p w14:paraId="0F63DF6F">
      <w:pPr>
        <w:spacing w:line="360" w:lineRule="auto"/>
        <w:ind w:firstLine="420" w:firstLineChars="2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固体/液体燃料锅炉的废气污染物（颗粒物、二氧化硫、氮氧化物）年许可排放量按下列公式计算：</w:t>
      </w:r>
    </w:p>
    <w:p w14:paraId="7086D48D">
      <w:pPr>
        <w:spacing w:line="360" w:lineRule="auto"/>
        <w:contextualSpacing/>
        <w:jc w:val="center"/>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E</w:t>
      </w:r>
      <w:r>
        <w:rPr>
          <w:rFonts w:hint="default" w:ascii="Times New Roman" w:hAnsi="Times New Roman" w:eastAsia="宋体" w:cs="Times New Roman"/>
          <w:color w:val="auto"/>
          <w:sz w:val="21"/>
          <w:highlight w:val="none"/>
          <w:vertAlign w:val="subscript"/>
        </w:rPr>
        <w:t>年许可</w:t>
      </w:r>
      <w:r>
        <w:rPr>
          <w:rFonts w:hint="default" w:ascii="Times New Roman" w:hAnsi="Times New Roman" w:eastAsia="宋体" w:cs="Times New Roman"/>
          <w:color w:val="auto"/>
          <w:sz w:val="21"/>
          <w:highlight w:val="none"/>
        </w:rPr>
        <w:t>=</w:t>
      </w:r>
      <m:oMath>
        <m:nary>
          <m:naryPr>
            <m:chr m:val="∑"/>
            <m:ctrlPr>
              <w:rPr>
                <w:rFonts w:hint="default" w:ascii="Cambria Math" w:hAnsi="Cambria Math" w:eastAsia="宋体" w:cs="Times New Roman"/>
                <w:color w:val="auto"/>
                <w:sz w:val="21"/>
                <w:highlight w:val="none"/>
              </w:rPr>
            </m:ctrlPr>
          </m:naryPr>
          <m:sub>
            <m:r>
              <m:rPr>
                <m:nor/>
                <m:sty m:val="p"/>
              </m:rPr>
              <w:rPr>
                <w:rFonts w:hint="default" w:ascii="Times New Roman" w:hAnsi="Times New Roman" w:eastAsia="宋体" w:cs="Times New Roman"/>
                <w:b w:val="0"/>
                <w:i w:val="0"/>
                <w:color w:val="auto"/>
                <w:sz w:val="21"/>
                <w:highlight w:val="none"/>
              </w:rPr>
              <m:t>i=0</m:t>
            </m:r>
            <m:ctrlPr>
              <w:rPr>
                <w:rFonts w:hint="default" w:ascii="Cambria Math" w:hAnsi="Cambria Math" w:eastAsia="宋体" w:cs="Times New Roman"/>
                <w:color w:val="auto"/>
                <w:sz w:val="21"/>
                <w:highlight w:val="none"/>
              </w:rPr>
            </m:ctrlPr>
          </m:sub>
          <m:sup>
            <m:r>
              <m:rPr>
                <m:nor/>
                <m:sty m:val="p"/>
              </m:rPr>
              <w:rPr>
                <w:rFonts w:hint="default" w:ascii="Times New Roman" w:hAnsi="Times New Roman" w:eastAsia="宋体" w:cs="Times New Roman"/>
                <w:b w:val="0"/>
                <w:i w:val="0"/>
                <w:color w:val="auto"/>
                <w:sz w:val="21"/>
                <w:highlight w:val="none"/>
              </w:rPr>
              <m:t>n</m:t>
            </m:r>
            <m:ctrlPr>
              <w:rPr>
                <w:rFonts w:hint="default" w:ascii="Cambria Math" w:hAnsi="Cambria Math" w:eastAsia="宋体" w:cs="Times New Roman"/>
                <w:color w:val="auto"/>
                <w:sz w:val="21"/>
                <w:highlight w:val="none"/>
              </w:rPr>
            </m:ctrlPr>
          </m:sup>
          <m:e>
            <m:r>
              <m:rPr>
                <m:nor/>
                <m:sty m:val="p"/>
              </m:rPr>
              <w:rPr>
                <w:rFonts w:hint="default" w:ascii="Times New Roman" w:hAnsi="Times New Roman" w:eastAsia="宋体" w:cs="Times New Roman"/>
                <w:b w:val="0"/>
                <w:i w:val="0"/>
                <w:color w:val="auto"/>
                <w:sz w:val="21"/>
                <w:highlight w:val="none"/>
              </w:rPr>
              <m:t>C</m:t>
            </m:r>
            <m:r>
              <m:rPr>
                <m:nor/>
                <m:sty m:val="p"/>
              </m:rPr>
              <w:rPr>
                <w:rFonts w:hint="default" w:ascii="Times New Roman" w:hAnsi="Times New Roman" w:eastAsia="宋体" w:cs="Times New Roman"/>
                <w:b w:val="0"/>
                <w:i w:val="0"/>
                <w:color w:val="auto"/>
                <w:sz w:val="21"/>
                <w:highlight w:val="none"/>
                <w:vertAlign w:val="subscript"/>
              </w:rPr>
              <m:t>i</m:t>
            </m:r>
            <m:ctrlPr>
              <w:rPr>
                <w:rFonts w:hint="default" w:ascii="Cambria Math" w:hAnsi="Cambria Math" w:eastAsia="宋体" w:cs="Times New Roman"/>
                <w:color w:val="auto"/>
                <w:sz w:val="21"/>
                <w:highlight w:val="none"/>
              </w:rPr>
            </m:ctrlPr>
          </m:e>
        </m:nary>
      </m:oMath>
      <w:r>
        <w:rPr>
          <w:rFonts w:hint="default" w:ascii="Times New Roman" w:hAnsi="Times New Roman" w:eastAsia="宋体" w:cs="Times New Roman"/>
          <w:color w:val="auto"/>
          <w:sz w:val="21"/>
          <w:highlight w:val="none"/>
        </w:rPr>
        <w:t>×V</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×R</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w:t>
      </w:r>
      <m:oMath>
        <m:r>
          <m:rPr>
            <m:nor/>
            <m:sty m:val="p"/>
          </m:rPr>
          <w:rPr>
            <w:rFonts w:hint="default" w:ascii="Times New Roman" w:hAnsi="Times New Roman" w:eastAsia="宋体" w:cs="Times New Roman"/>
            <w:b w:val="0"/>
            <w:i w:val="0"/>
            <w:color w:val="auto"/>
            <w:sz w:val="21"/>
            <w:highlight w:val="none"/>
          </w:rPr>
          <m:t>δ</m:t>
        </m:r>
      </m:oMath>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×10</w:t>
      </w:r>
      <w:r>
        <w:rPr>
          <w:rFonts w:hint="default" w:ascii="Times New Roman" w:hAnsi="Times New Roman" w:eastAsia="宋体" w:cs="Times New Roman"/>
          <w:color w:val="auto"/>
          <w:sz w:val="21"/>
          <w:highlight w:val="none"/>
          <w:vertAlign w:val="superscript"/>
        </w:rPr>
        <w:t>-6</w:t>
      </w:r>
    </w:p>
    <w:p w14:paraId="3CB3E816">
      <w:pPr>
        <w:spacing w:line="360" w:lineRule="auto"/>
        <w:ind w:firstLine="319" w:firstLineChars="152"/>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式中E</w:t>
      </w:r>
      <w:r>
        <w:rPr>
          <w:rFonts w:hint="default" w:ascii="Times New Roman" w:hAnsi="Times New Roman" w:eastAsia="宋体" w:cs="Times New Roman"/>
          <w:color w:val="auto"/>
          <w:sz w:val="21"/>
          <w:highlight w:val="none"/>
          <w:vertAlign w:val="subscript"/>
        </w:rPr>
        <w:t>年许可</w:t>
      </w:r>
      <w:r>
        <w:rPr>
          <w:rFonts w:hint="default" w:ascii="Times New Roman" w:hAnsi="Times New Roman" w:eastAsia="宋体" w:cs="Times New Roman"/>
          <w:color w:val="auto"/>
          <w:sz w:val="21"/>
          <w:highlight w:val="none"/>
        </w:rPr>
        <w:t>—锅炉排污单位污染物年许可排放量，吨；</w:t>
      </w:r>
    </w:p>
    <w:p w14:paraId="49F05989">
      <w:pPr>
        <w:spacing w:line="360" w:lineRule="auto"/>
        <w:ind w:firstLine="840" w:firstLineChars="4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C</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—第i个主要排放口污染物排放标准浓度限值，毫克/立方米；</w:t>
      </w:r>
    </w:p>
    <w:p w14:paraId="25F668B2">
      <w:pPr>
        <w:spacing w:line="360" w:lineRule="auto"/>
        <w:ind w:firstLine="840" w:firstLineChars="4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V</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—第i个主要排放口基准烟气量，标立方米/千克或标立方米/立方米；</w:t>
      </w:r>
    </w:p>
    <w:p w14:paraId="03493336">
      <w:pPr>
        <w:spacing w:line="360" w:lineRule="auto"/>
        <w:ind w:firstLine="840" w:firstLineChars="4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R</w:t>
      </w:r>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第i个主要排放口所对应的锅炉前三年年平均燃料使用量（未投运或投运不满一年的锅炉按照设计年燃料使用量进行选取，投运满一年但未满三年的锅炉按运行周期年平均燃料使用量选取，当前三年或周期年年平均燃料使用量超过设计燃料使用量时，按设计燃料使用量选取），吨或万立方米；</w:t>
      </w:r>
    </w:p>
    <w:p w14:paraId="39A01D5F">
      <w:pPr>
        <w:spacing w:line="360" w:lineRule="auto"/>
        <w:ind w:firstLine="840" w:firstLineChars="400"/>
        <w:rPr>
          <w:rFonts w:hint="default" w:ascii="Times New Roman" w:hAnsi="Times New Roman" w:eastAsia="宋体" w:cs="Times New Roman"/>
          <w:color w:val="auto"/>
          <w:sz w:val="21"/>
          <w:highlight w:val="none"/>
        </w:rPr>
      </w:pPr>
      <m:oMath>
        <m:r>
          <m:rPr>
            <m:nor/>
            <m:sty m:val="p"/>
          </m:rPr>
          <w:rPr>
            <w:rFonts w:hint="default" w:ascii="Times New Roman" w:hAnsi="Times New Roman" w:eastAsia="宋体" w:cs="Times New Roman"/>
            <w:b w:val="0"/>
            <w:i w:val="0"/>
            <w:color w:val="auto"/>
            <w:sz w:val="21"/>
            <w:highlight w:val="none"/>
          </w:rPr>
          <m:t>δ</m:t>
        </m:r>
      </m:oMath>
      <w:r>
        <w:rPr>
          <w:rFonts w:hint="default" w:ascii="Times New Roman" w:hAnsi="Times New Roman" w:eastAsia="宋体" w:cs="Times New Roman"/>
          <w:color w:val="auto"/>
          <w:sz w:val="21"/>
          <w:highlight w:val="none"/>
          <w:vertAlign w:val="subscript"/>
        </w:rPr>
        <w:t>i</w:t>
      </w:r>
      <w:r>
        <w:rPr>
          <w:rFonts w:hint="default" w:ascii="Times New Roman" w:hAnsi="Times New Roman" w:eastAsia="宋体" w:cs="Times New Roman"/>
          <w:color w:val="auto"/>
          <w:sz w:val="21"/>
          <w:highlight w:val="none"/>
        </w:rPr>
        <w:t>—第i个主要排放口所对应的大气污染物许可排放量调整系数，按表</w:t>
      </w:r>
      <w:r>
        <w:rPr>
          <w:rFonts w:hint="default" w:ascii="Times New Roman" w:hAnsi="Times New Roman" w:eastAsia="宋体" w:cs="Times New Roman"/>
          <w:color w:val="auto"/>
          <w:sz w:val="21"/>
          <w:highlight w:val="none"/>
          <w:lang w:val="en-US" w:eastAsia="zh-CN"/>
        </w:rPr>
        <w:t>1</w:t>
      </w:r>
      <w:r>
        <w:rPr>
          <w:rFonts w:hint="default" w:ascii="Times New Roman" w:hAnsi="Times New Roman" w:eastAsia="宋体" w:cs="Times New Roman"/>
          <w:color w:val="auto"/>
          <w:sz w:val="21"/>
          <w:highlight w:val="none"/>
        </w:rPr>
        <w:t>取值</w:t>
      </w:r>
    </w:p>
    <w:p w14:paraId="3C9FCCD3">
      <w:pPr>
        <w:spacing w:line="360" w:lineRule="auto"/>
        <w:ind w:firstLine="420" w:firstLineChars="2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fldChar w:fldCharType="begin"/>
      </w:r>
      <w:r>
        <w:rPr>
          <w:rFonts w:hint="default" w:ascii="Times New Roman" w:hAnsi="Times New Roman" w:eastAsia="宋体" w:cs="Times New Roman"/>
          <w:color w:val="auto"/>
          <w:sz w:val="21"/>
          <w:highlight w:val="none"/>
        </w:rPr>
        <w:instrText xml:space="preserve"> = 1 \* GB3 </w:instrText>
      </w:r>
      <w:r>
        <w:rPr>
          <w:rFonts w:hint="default" w:ascii="Times New Roman" w:hAnsi="Times New Roman" w:eastAsia="宋体" w:cs="Times New Roman"/>
          <w:color w:val="auto"/>
          <w:sz w:val="21"/>
          <w:highlight w:val="none"/>
        </w:rPr>
        <w:fldChar w:fldCharType="separate"/>
      </w:r>
      <w:r>
        <w:rPr>
          <w:rFonts w:hint="default" w:ascii="Times New Roman" w:hAnsi="Times New Roman" w:eastAsia="宋体" w:cs="Times New Roman"/>
          <w:color w:val="auto"/>
          <w:sz w:val="21"/>
          <w:highlight w:val="none"/>
        </w:rPr>
        <w:t>①</w:t>
      </w:r>
      <w:r>
        <w:rPr>
          <w:rFonts w:hint="default" w:ascii="Times New Roman" w:hAnsi="Times New Roman" w:eastAsia="宋体" w:cs="Times New Roman"/>
          <w:color w:val="auto"/>
          <w:sz w:val="21"/>
          <w:highlight w:val="none"/>
        </w:rPr>
        <w:fldChar w:fldCharType="end"/>
      </w:r>
      <w:r>
        <w:rPr>
          <w:rFonts w:hint="default" w:ascii="Times New Roman" w:hAnsi="Times New Roman" w:eastAsia="宋体" w:cs="Times New Roman"/>
          <w:color w:val="auto"/>
          <w:sz w:val="21"/>
          <w:highlight w:val="none"/>
        </w:rPr>
        <w:t>C为废气污染物许可排放浓度限值</w:t>
      </w:r>
    </w:p>
    <w:p w14:paraId="6E0E98CF">
      <w:pPr>
        <w:spacing w:line="360" w:lineRule="auto"/>
        <w:ind w:firstLine="420" w:firstLineChars="200"/>
        <w:contextualSpacing/>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t>锅炉执行《锅炉大气污染物排放标准》（GB13271-2014）表</w:t>
      </w:r>
      <w:r>
        <w:rPr>
          <w:rFonts w:hint="eastAsia" w:cs="Times New Roman"/>
          <w:color w:val="auto"/>
          <w:sz w:val="21"/>
          <w:highlight w:val="none"/>
          <w:lang w:val="en-US" w:eastAsia="zh-CN"/>
        </w:rPr>
        <w:t>2新建锅炉大气污染物排放浓度限值</w:t>
      </w:r>
      <w:r>
        <w:rPr>
          <w:rFonts w:hint="default" w:ascii="Times New Roman" w:hAnsi="Times New Roman" w:eastAsia="宋体" w:cs="Times New Roman"/>
          <w:color w:val="auto"/>
          <w:sz w:val="21"/>
          <w:highlight w:val="none"/>
        </w:rPr>
        <w:t>，因此取值为颗粒物：</w:t>
      </w:r>
      <w:r>
        <w:rPr>
          <w:rFonts w:hint="eastAsia" w:cs="Times New Roman"/>
          <w:color w:val="auto"/>
          <w:sz w:val="21"/>
          <w:highlight w:val="none"/>
          <w:lang w:val="en-US" w:eastAsia="zh-CN"/>
        </w:rPr>
        <w:t>50</w:t>
      </w:r>
      <w:r>
        <w:rPr>
          <w:rFonts w:hint="default" w:ascii="Times New Roman" w:hAnsi="Times New Roman" w:eastAsia="宋体" w:cs="Times New Roman"/>
          <w:color w:val="auto"/>
          <w:sz w:val="21"/>
          <w:highlight w:val="none"/>
        </w:rPr>
        <w:t>mg/m</w:t>
      </w:r>
      <w:r>
        <w:rPr>
          <w:rFonts w:hint="default" w:ascii="Times New Roman" w:hAnsi="Times New Roman" w:eastAsia="宋体" w:cs="Times New Roman"/>
          <w:color w:val="auto"/>
          <w:sz w:val="21"/>
          <w:highlight w:val="none"/>
          <w:vertAlign w:val="superscript"/>
        </w:rPr>
        <w:t>3</w:t>
      </w:r>
      <w:r>
        <w:rPr>
          <w:rFonts w:hint="default" w:ascii="Times New Roman" w:hAnsi="Times New Roman" w:eastAsia="宋体" w:cs="Times New Roman"/>
          <w:color w:val="auto"/>
          <w:sz w:val="21"/>
          <w:highlight w:val="none"/>
        </w:rPr>
        <w:t>、SO</w:t>
      </w:r>
      <w:r>
        <w:rPr>
          <w:rFonts w:hint="default" w:ascii="Times New Roman" w:hAnsi="Times New Roman" w:eastAsia="宋体" w:cs="Times New Roman"/>
          <w:color w:val="auto"/>
          <w:sz w:val="21"/>
          <w:highlight w:val="none"/>
          <w:vertAlign w:val="subscript"/>
        </w:rPr>
        <w:t>2</w:t>
      </w:r>
      <w:r>
        <w:rPr>
          <w:rFonts w:hint="default" w:ascii="Times New Roman" w:hAnsi="Times New Roman" w:eastAsia="宋体" w:cs="Times New Roman"/>
          <w:color w:val="auto"/>
          <w:sz w:val="21"/>
          <w:highlight w:val="none"/>
        </w:rPr>
        <w:t>：</w:t>
      </w:r>
      <w:r>
        <w:rPr>
          <w:rFonts w:hint="eastAsia" w:cs="Times New Roman"/>
          <w:color w:val="auto"/>
          <w:sz w:val="21"/>
          <w:highlight w:val="none"/>
          <w:lang w:val="en-US" w:eastAsia="zh-CN"/>
        </w:rPr>
        <w:t>3</w:t>
      </w:r>
      <w:r>
        <w:rPr>
          <w:rFonts w:hint="default" w:ascii="Times New Roman" w:hAnsi="Times New Roman" w:eastAsia="宋体" w:cs="Times New Roman"/>
          <w:color w:val="auto"/>
          <w:sz w:val="21"/>
          <w:highlight w:val="none"/>
        </w:rPr>
        <w:t>00mg/m</w:t>
      </w:r>
      <w:r>
        <w:rPr>
          <w:rFonts w:hint="default" w:ascii="Times New Roman" w:hAnsi="Times New Roman" w:eastAsia="宋体" w:cs="Times New Roman"/>
          <w:color w:val="auto"/>
          <w:sz w:val="21"/>
          <w:highlight w:val="none"/>
          <w:vertAlign w:val="superscript"/>
        </w:rPr>
        <w:t>3</w:t>
      </w:r>
      <w:r>
        <w:rPr>
          <w:rFonts w:hint="default" w:ascii="Times New Roman" w:hAnsi="Times New Roman" w:eastAsia="宋体" w:cs="Times New Roman"/>
          <w:color w:val="auto"/>
          <w:sz w:val="21"/>
          <w:highlight w:val="none"/>
        </w:rPr>
        <w:t>、NO</w:t>
      </w:r>
      <w:r>
        <w:rPr>
          <w:rFonts w:hint="default" w:ascii="Times New Roman" w:hAnsi="Times New Roman" w:eastAsia="宋体" w:cs="Times New Roman"/>
          <w:color w:val="auto"/>
          <w:sz w:val="21"/>
          <w:highlight w:val="none"/>
          <w:vertAlign w:val="subscript"/>
        </w:rPr>
        <w:t>X</w:t>
      </w:r>
      <w:r>
        <w:rPr>
          <w:rFonts w:hint="default" w:ascii="Times New Roman" w:hAnsi="Times New Roman" w:eastAsia="宋体" w:cs="Times New Roman"/>
          <w:color w:val="auto"/>
          <w:sz w:val="21"/>
          <w:highlight w:val="none"/>
        </w:rPr>
        <w:t>：</w:t>
      </w:r>
      <w:r>
        <w:rPr>
          <w:rFonts w:hint="eastAsia" w:cs="Times New Roman"/>
          <w:color w:val="auto"/>
          <w:sz w:val="21"/>
          <w:highlight w:val="none"/>
          <w:lang w:val="en-US" w:eastAsia="zh-CN"/>
        </w:rPr>
        <w:t>3</w:t>
      </w:r>
      <w:r>
        <w:rPr>
          <w:rFonts w:hint="default" w:ascii="Times New Roman" w:hAnsi="Times New Roman" w:eastAsia="宋体" w:cs="Times New Roman"/>
          <w:color w:val="auto"/>
          <w:sz w:val="21"/>
          <w:highlight w:val="none"/>
        </w:rPr>
        <w:t>00mg/m</w:t>
      </w:r>
      <w:r>
        <w:rPr>
          <w:rFonts w:hint="default" w:ascii="Times New Roman" w:hAnsi="Times New Roman" w:eastAsia="宋体" w:cs="Times New Roman"/>
          <w:color w:val="auto"/>
          <w:sz w:val="21"/>
          <w:highlight w:val="none"/>
          <w:vertAlign w:val="superscript"/>
        </w:rPr>
        <w:t>3</w:t>
      </w:r>
      <w:r>
        <w:rPr>
          <w:rFonts w:hint="default" w:ascii="Times New Roman" w:hAnsi="Times New Roman" w:eastAsia="宋体" w:cs="Times New Roman"/>
          <w:color w:val="auto"/>
          <w:sz w:val="21"/>
          <w:highlight w:val="none"/>
        </w:rPr>
        <w:t>。</w:t>
      </w:r>
    </w:p>
    <w:p w14:paraId="7FA7E481">
      <w:pPr>
        <w:spacing w:line="360" w:lineRule="auto"/>
        <w:ind w:firstLine="420" w:firstLineChars="2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fldChar w:fldCharType="begin"/>
      </w:r>
      <w:r>
        <w:rPr>
          <w:rFonts w:hint="default" w:ascii="Times New Roman" w:hAnsi="Times New Roman" w:eastAsia="宋体" w:cs="Times New Roman"/>
          <w:color w:val="auto"/>
          <w:sz w:val="21"/>
          <w:highlight w:val="none"/>
        </w:rPr>
        <w:instrText xml:space="preserve"> = 2 \* GB3 </w:instrText>
      </w:r>
      <w:r>
        <w:rPr>
          <w:rFonts w:hint="default" w:ascii="Times New Roman" w:hAnsi="Times New Roman" w:eastAsia="宋体" w:cs="Times New Roman"/>
          <w:color w:val="auto"/>
          <w:sz w:val="21"/>
          <w:highlight w:val="none"/>
        </w:rPr>
        <w:fldChar w:fldCharType="separate"/>
      </w:r>
      <w:r>
        <w:rPr>
          <w:rFonts w:hint="default" w:ascii="Times New Roman" w:hAnsi="Times New Roman" w:eastAsia="宋体" w:cs="Times New Roman"/>
          <w:color w:val="auto"/>
          <w:sz w:val="21"/>
          <w:highlight w:val="none"/>
        </w:rPr>
        <w:t>②</w:t>
      </w:r>
      <w:r>
        <w:rPr>
          <w:rFonts w:hint="default" w:ascii="Times New Roman" w:hAnsi="Times New Roman" w:eastAsia="宋体" w:cs="Times New Roman"/>
          <w:color w:val="auto"/>
          <w:sz w:val="21"/>
          <w:highlight w:val="none"/>
        </w:rPr>
        <w:fldChar w:fldCharType="end"/>
      </w:r>
      <w:r>
        <w:rPr>
          <w:rFonts w:hint="default" w:ascii="Times New Roman" w:hAnsi="Times New Roman" w:eastAsia="宋体" w:cs="Times New Roman"/>
          <w:color w:val="auto"/>
          <w:sz w:val="21"/>
          <w:highlight w:val="none"/>
        </w:rPr>
        <w:t>V为基准烟气量</w:t>
      </w:r>
    </w:p>
    <w:p w14:paraId="4FB61D00">
      <w:pPr>
        <w:spacing w:line="360" w:lineRule="auto"/>
        <w:ind w:firstLine="420" w:firstLineChars="200"/>
        <w:rPr>
          <w:rFonts w:hint="default" w:ascii="Times New Roman" w:hAnsi="Times New Roman" w:eastAsia="宋体"/>
          <w:color w:val="000000"/>
          <w:sz w:val="21"/>
          <w:szCs w:val="21"/>
        </w:rPr>
      </w:pPr>
      <w:r>
        <w:rPr>
          <w:rFonts w:hint="default" w:ascii="Times New Roman" w:hAnsi="Times New Roman" w:eastAsia="宋体"/>
          <w:color w:val="000000"/>
          <w:sz w:val="21"/>
          <w:szCs w:val="21"/>
        </w:rPr>
        <w:t>干烟气排放量V</w:t>
      </w:r>
      <w:r>
        <w:rPr>
          <w:rFonts w:hint="default" w:ascii="Times New Roman" w:hAnsi="Times New Roman" w:eastAsia="宋体"/>
          <w:color w:val="000000"/>
          <w:sz w:val="21"/>
          <w:szCs w:val="21"/>
          <w:vertAlign w:val="subscript"/>
        </w:rPr>
        <w:t>g</w:t>
      </w:r>
      <w:r>
        <w:rPr>
          <w:rFonts w:hint="default" w:ascii="Times New Roman" w:hAnsi="Times New Roman" w:eastAsia="宋体"/>
          <w:color w:val="000000"/>
          <w:sz w:val="21"/>
          <w:szCs w:val="21"/>
        </w:rPr>
        <w:t>为</w:t>
      </w:r>
      <w:r>
        <w:rPr>
          <w:rFonts w:hint="eastAsia" w:ascii="Times New Roman" w:hAnsi="Times New Roman" w:eastAsia="宋体"/>
          <w:color w:val="000000"/>
          <w:sz w:val="21"/>
          <w:szCs w:val="21"/>
          <w:lang w:val="en-US" w:eastAsia="zh-CN"/>
        </w:rPr>
        <w:t>6.13</w:t>
      </w:r>
      <w:r>
        <w:rPr>
          <w:rFonts w:hint="default" w:ascii="Times New Roman" w:hAnsi="Times New Roman" w:eastAsia="宋体"/>
          <w:color w:val="000000"/>
          <w:sz w:val="21"/>
          <w:szCs w:val="21"/>
        </w:rPr>
        <w:t>m</w:t>
      </w:r>
      <w:r>
        <w:rPr>
          <w:rFonts w:hint="default" w:ascii="Times New Roman" w:hAnsi="Times New Roman" w:eastAsia="宋体"/>
          <w:color w:val="000000"/>
          <w:sz w:val="21"/>
          <w:szCs w:val="21"/>
          <w:vertAlign w:val="superscript"/>
        </w:rPr>
        <w:t>3</w:t>
      </w:r>
      <w:r>
        <w:rPr>
          <w:rFonts w:hint="default" w:ascii="Times New Roman" w:hAnsi="Times New Roman" w:eastAsia="宋体"/>
          <w:color w:val="000000"/>
          <w:sz w:val="21"/>
          <w:szCs w:val="21"/>
        </w:rPr>
        <w:t>/kg</w:t>
      </w:r>
    </w:p>
    <w:p w14:paraId="0FA2BBE6">
      <w:pPr>
        <w:spacing w:line="360" w:lineRule="auto"/>
        <w:ind w:firstLine="420" w:firstLineChars="200"/>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highlight w:val="none"/>
        </w:rPr>
        <w:fldChar w:fldCharType="begin"/>
      </w:r>
      <w:r>
        <w:rPr>
          <w:rFonts w:hint="default" w:ascii="Times New Roman" w:hAnsi="Times New Roman" w:eastAsia="宋体" w:cs="Times New Roman"/>
          <w:color w:val="auto"/>
          <w:sz w:val="21"/>
          <w:highlight w:val="none"/>
        </w:rPr>
        <w:instrText xml:space="preserve"> = 3 \* GB3 </w:instrText>
      </w:r>
      <w:r>
        <w:rPr>
          <w:rFonts w:hint="default" w:ascii="Times New Roman" w:hAnsi="Times New Roman" w:eastAsia="宋体" w:cs="Times New Roman"/>
          <w:color w:val="auto"/>
          <w:sz w:val="21"/>
          <w:highlight w:val="none"/>
        </w:rPr>
        <w:fldChar w:fldCharType="separate"/>
      </w:r>
      <w:r>
        <w:rPr>
          <w:rFonts w:hint="default" w:ascii="Times New Roman" w:hAnsi="Times New Roman" w:eastAsia="宋体" w:cs="Times New Roman"/>
          <w:color w:val="auto"/>
          <w:sz w:val="21"/>
          <w:highlight w:val="none"/>
        </w:rPr>
        <w:t>③</w:t>
      </w:r>
      <w:r>
        <w:rPr>
          <w:rFonts w:hint="default" w:ascii="Times New Roman" w:hAnsi="Times New Roman" w:eastAsia="宋体" w:cs="Times New Roman"/>
          <w:color w:val="auto"/>
          <w:sz w:val="21"/>
          <w:highlight w:val="none"/>
        </w:rPr>
        <w:fldChar w:fldCharType="end"/>
      </w:r>
      <w:r>
        <w:rPr>
          <w:rFonts w:hint="default" w:ascii="Times New Roman" w:hAnsi="Times New Roman" w:eastAsia="宋体" w:cs="Times New Roman"/>
          <w:color w:val="auto"/>
          <w:sz w:val="21"/>
          <w:highlight w:val="none"/>
        </w:rPr>
        <w:t>R为设计燃料用量</w:t>
      </w:r>
    </w:p>
    <w:p w14:paraId="441A2BA2">
      <w:pPr>
        <w:spacing w:line="360" w:lineRule="auto"/>
        <w:ind w:firstLine="420" w:firstLineChars="200"/>
        <w:contextualSpacing/>
        <w:rPr>
          <w:rFonts w:hint="default" w:ascii="Times New Roman" w:hAnsi="Times New Roman" w:eastAsia="宋体" w:cs="Times New Roman"/>
          <w:color w:val="auto"/>
          <w:sz w:val="21"/>
          <w:highlight w:val="none"/>
        </w:rPr>
      </w:pPr>
      <w:r>
        <w:rPr>
          <w:rFonts w:hint="default" w:ascii="Times New Roman" w:hAnsi="Times New Roman" w:eastAsia="宋体" w:cs="Times New Roman"/>
          <w:color w:val="auto"/>
          <w:sz w:val="21"/>
          <w:szCs w:val="24"/>
          <w:highlight w:val="none"/>
        </w:rPr>
        <w:t>锅炉燃生物质</w:t>
      </w:r>
      <w:r>
        <w:rPr>
          <w:rFonts w:hint="default" w:ascii="Times New Roman" w:hAnsi="Times New Roman" w:eastAsia="宋体" w:cs="Times New Roman"/>
          <w:color w:val="auto"/>
          <w:sz w:val="21"/>
          <w:szCs w:val="24"/>
          <w:highlight w:val="none"/>
          <w:lang w:val="en-US" w:eastAsia="zh-CN"/>
        </w:rPr>
        <w:t>燃料</w:t>
      </w:r>
      <w:r>
        <w:rPr>
          <w:rFonts w:hint="default" w:ascii="Times New Roman" w:hAnsi="Times New Roman" w:eastAsia="宋体" w:cs="Times New Roman"/>
          <w:color w:val="auto"/>
          <w:sz w:val="21"/>
          <w:szCs w:val="24"/>
          <w:highlight w:val="none"/>
        </w:rPr>
        <w:t>消耗量为</w:t>
      </w:r>
      <w:r>
        <w:rPr>
          <w:rFonts w:hint="default" w:ascii="Times New Roman" w:hAnsi="Times New Roman" w:eastAsia="宋体" w:cs="Times New Roman"/>
          <w:bCs/>
          <w:color w:val="auto"/>
          <w:sz w:val="21"/>
          <w:highlight w:val="none"/>
          <w:lang w:val="en-US" w:eastAsia="zh-CN"/>
        </w:rPr>
        <w:t>3</w:t>
      </w:r>
      <w:r>
        <w:rPr>
          <w:rFonts w:hint="eastAsia" w:ascii="Times New Roman" w:hAnsi="Times New Roman" w:eastAsia="宋体" w:cs="Times New Roman"/>
          <w:bCs/>
          <w:color w:val="auto"/>
          <w:sz w:val="21"/>
          <w:highlight w:val="none"/>
          <w:lang w:val="en-US" w:eastAsia="zh-CN"/>
        </w:rPr>
        <w:t>608.77</w:t>
      </w:r>
      <w:r>
        <w:rPr>
          <w:rStyle w:val="115"/>
          <w:rFonts w:hint="default" w:ascii="Times New Roman" w:hAnsi="Times New Roman" w:eastAsia="宋体" w:cs="Times New Roman"/>
          <w:color w:val="auto"/>
          <w:sz w:val="21"/>
          <w:szCs w:val="24"/>
          <w:highlight w:val="none"/>
        </w:rPr>
        <w:t>t/a</w:t>
      </w:r>
      <w:r>
        <w:rPr>
          <w:rStyle w:val="115"/>
          <w:rFonts w:hint="default" w:ascii="Times New Roman" w:hAnsi="Times New Roman" w:eastAsia="宋体" w:cs="Times New Roman"/>
          <w:color w:val="auto"/>
          <w:sz w:val="21"/>
          <w:szCs w:val="24"/>
          <w:highlight w:val="none"/>
          <w:lang w:eastAsia="zh-CN"/>
        </w:rPr>
        <w:t>，</w:t>
      </w:r>
      <w:r>
        <w:rPr>
          <w:rFonts w:hint="default" w:ascii="Times New Roman" w:hAnsi="Times New Roman" w:eastAsia="宋体" w:cs="Times New Roman"/>
          <w:color w:val="auto"/>
          <w:sz w:val="21"/>
          <w:highlight w:val="none"/>
        </w:rPr>
        <w:t>因此污染物核定量计算过程如下：</w:t>
      </w:r>
    </w:p>
    <w:p w14:paraId="2F250557">
      <w:pPr>
        <w:spacing w:line="360" w:lineRule="auto"/>
        <w:ind w:firstLine="422" w:firstLineChars="200"/>
        <w:contextualSpacing/>
        <w:rPr>
          <w:rFonts w:hint="default" w:ascii="Times New Roman" w:hAnsi="Times New Roman" w:eastAsia="宋体" w:cs="Times New Roman"/>
          <w:b/>
          <w:bCs w:val="0"/>
          <w:color w:val="auto"/>
          <w:sz w:val="21"/>
          <w:highlight w:val="none"/>
        </w:rPr>
      </w:pPr>
      <w:r>
        <w:rPr>
          <w:rFonts w:hint="default" w:ascii="Times New Roman" w:hAnsi="Times New Roman" w:eastAsia="宋体" w:cs="Times New Roman"/>
          <w:b/>
          <w:bCs w:val="0"/>
          <w:color w:val="auto"/>
          <w:sz w:val="21"/>
          <w:highlight w:val="none"/>
        </w:rPr>
        <w:t>颗粒物=</w:t>
      </w:r>
      <w:r>
        <w:rPr>
          <w:rFonts w:hint="eastAsia" w:cs="Times New Roman"/>
          <w:b/>
          <w:bCs w:val="0"/>
          <w:color w:val="auto"/>
          <w:sz w:val="21"/>
          <w:highlight w:val="none"/>
          <w:lang w:val="en-US" w:eastAsia="zh-CN"/>
        </w:rPr>
        <w:t>5</w:t>
      </w:r>
      <w:r>
        <w:rPr>
          <w:rFonts w:hint="default" w:ascii="Times New Roman" w:hAnsi="Times New Roman" w:eastAsia="宋体" w:cs="Times New Roman"/>
          <w:b/>
          <w:bCs w:val="0"/>
          <w:color w:val="auto"/>
          <w:sz w:val="21"/>
          <w:highlight w:val="none"/>
          <w:lang w:val="en-US" w:eastAsia="zh-CN"/>
        </w:rPr>
        <w:t>0</w:t>
      </w:r>
      <w:r>
        <w:rPr>
          <w:rFonts w:hint="default" w:ascii="Times New Roman" w:hAnsi="Times New Roman" w:eastAsia="宋体" w:cs="Times New Roman"/>
          <w:b/>
          <w:bCs w:val="0"/>
          <w:color w:val="auto"/>
          <w:sz w:val="21"/>
          <w:highlight w:val="none"/>
        </w:rPr>
        <w:t>×</w:t>
      </w:r>
      <w:r>
        <w:rPr>
          <w:rFonts w:hint="eastAsia" w:ascii="Times New Roman" w:hAnsi="Times New Roman" w:eastAsia="宋体"/>
          <w:color w:val="000000"/>
          <w:sz w:val="21"/>
          <w:szCs w:val="21"/>
          <w:lang w:val="en-US" w:eastAsia="zh-CN"/>
        </w:rPr>
        <w:t>6.13</w:t>
      </w:r>
      <w:r>
        <w:rPr>
          <w:rFonts w:hint="default" w:ascii="Times New Roman" w:hAnsi="Times New Roman" w:eastAsia="宋体" w:cs="Times New Roman"/>
          <w:b/>
          <w:bCs w:val="0"/>
          <w:color w:val="auto"/>
          <w:sz w:val="21"/>
          <w:highlight w:val="none"/>
        </w:rPr>
        <w:t>×</w:t>
      </w:r>
      <w:r>
        <w:rPr>
          <w:rFonts w:hint="default" w:ascii="Times New Roman" w:hAnsi="Times New Roman" w:eastAsia="宋体" w:cs="Times New Roman"/>
          <w:bCs/>
          <w:color w:val="auto"/>
          <w:sz w:val="21"/>
          <w:highlight w:val="none"/>
          <w:lang w:val="en-US" w:eastAsia="zh-CN"/>
        </w:rPr>
        <w:t>3</w:t>
      </w:r>
      <w:r>
        <w:rPr>
          <w:rFonts w:hint="eastAsia" w:ascii="Times New Roman" w:hAnsi="Times New Roman" w:eastAsia="宋体" w:cs="Times New Roman"/>
          <w:bCs/>
          <w:color w:val="auto"/>
          <w:sz w:val="21"/>
          <w:highlight w:val="none"/>
          <w:lang w:val="en-US" w:eastAsia="zh-CN"/>
        </w:rPr>
        <w:t>608.77</w:t>
      </w:r>
      <w:r>
        <w:rPr>
          <w:rFonts w:hint="default" w:ascii="Times New Roman" w:hAnsi="Times New Roman" w:eastAsia="宋体" w:cs="Times New Roman"/>
          <w:b/>
          <w:bCs w:val="0"/>
          <w:color w:val="auto"/>
          <w:sz w:val="21"/>
          <w:highlight w:val="none"/>
        </w:rPr>
        <w:t>×1×10</w:t>
      </w:r>
      <w:r>
        <w:rPr>
          <w:rFonts w:hint="default" w:ascii="Times New Roman" w:hAnsi="Times New Roman" w:eastAsia="宋体" w:cs="Times New Roman"/>
          <w:b/>
          <w:bCs w:val="0"/>
          <w:color w:val="auto"/>
          <w:sz w:val="21"/>
          <w:highlight w:val="none"/>
          <w:vertAlign w:val="superscript"/>
        </w:rPr>
        <w:t>-6</w:t>
      </w:r>
      <w:r>
        <w:rPr>
          <w:rFonts w:hint="default" w:ascii="Times New Roman" w:hAnsi="Times New Roman" w:eastAsia="宋体" w:cs="Times New Roman"/>
          <w:b/>
          <w:bCs w:val="0"/>
          <w:color w:val="auto"/>
          <w:sz w:val="21"/>
          <w:highlight w:val="none"/>
        </w:rPr>
        <w:t>=</w:t>
      </w:r>
      <w:r>
        <w:rPr>
          <w:rFonts w:hint="eastAsia" w:cs="Times New Roman"/>
          <w:b/>
          <w:bCs w:val="0"/>
          <w:color w:val="auto"/>
          <w:sz w:val="21"/>
          <w:highlight w:val="none"/>
          <w:lang w:val="en-US" w:eastAsia="zh-CN"/>
        </w:rPr>
        <w:t>1.11</w:t>
      </w:r>
      <w:r>
        <w:rPr>
          <w:rFonts w:hint="default" w:ascii="Times New Roman" w:hAnsi="Times New Roman" w:eastAsia="宋体" w:cs="Times New Roman"/>
          <w:b/>
          <w:bCs w:val="0"/>
          <w:color w:val="auto"/>
          <w:sz w:val="21"/>
          <w:highlight w:val="none"/>
        </w:rPr>
        <w:t>t/a</w:t>
      </w:r>
    </w:p>
    <w:p w14:paraId="0728B091">
      <w:pPr>
        <w:spacing w:line="360" w:lineRule="auto"/>
        <w:ind w:firstLine="422" w:firstLineChars="200"/>
        <w:contextualSpacing/>
        <w:rPr>
          <w:rFonts w:hint="default" w:ascii="Times New Roman" w:hAnsi="Times New Roman" w:eastAsia="宋体" w:cs="Times New Roman"/>
          <w:b/>
          <w:bCs w:val="0"/>
          <w:color w:val="auto"/>
          <w:sz w:val="21"/>
          <w:highlight w:val="none"/>
        </w:rPr>
      </w:pPr>
      <w:r>
        <w:rPr>
          <w:rFonts w:hint="default" w:ascii="Times New Roman" w:hAnsi="Times New Roman" w:eastAsia="宋体" w:cs="Times New Roman"/>
          <w:b/>
          <w:bCs w:val="0"/>
          <w:color w:val="auto"/>
          <w:sz w:val="21"/>
          <w:highlight w:val="none"/>
        </w:rPr>
        <w:t>SO</w:t>
      </w:r>
      <w:r>
        <w:rPr>
          <w:rFonts w:hint="default" w:ascii="Times New Roman" w:hAnsi="Times New Roman" w:eastAsia="宋体" w:cs="Times New Roman"/>
          <w:b/>
          <w:bCs w:val="0"/>
          <w:color w:val="auto"/>
          <w:sz w:val="21"/>
          <w:highlight w:val="none"/>
          <w:vertAlign w:val="subscript"/>
        </w:rPr>
        <w:t>2</w:t>
      </w:r>
      <w:r>
        <w:rPr>
          <w:rFonts w:hint="default" w:ascii="Times New Roman" w:hAnsi="Times New Roman" w:eastAsia="宋体" w:cs="Times New Roman"/>
          <w:b/>
          <w:bCs w:val="0"/>
          <w:color w:val="auto"/>
          <w:sz w:val="21"/>
          <w:highlight w:val="none"/>
        </w:rPr>
        <w:t>=</w:t>
      </w:r>
      <w:r>
        <w:rPr>
          <w:rFonts w:hint="eastAsia" w:cs="Times New Roman"/>
          <w:b/>
          <w:bCs w:val="0"/>
          <w:color w:val="auto"/>
          <w:sz w:val="21"/>
          <w:highlight w:val="none"/>
          <w:lang w:val="en-US" w:eastAsia="zh-CN"/>
        </w:rPr>
        <w:t>3</w:t>
      </w:r>
      <w:r>
        <w:rPr>
          <w:rFonts w:hint="default" w:ascii="Times New Roman" w:hAnsi="Times New Roman" w:eastAsia="宋体" w:cs="Times New Roman"/>
          <w:b/>
          <w:bCs w:val="0"/>
          <w:color w:val="auto"/>
          <w:sz w:val="21"/>
          <w:highlight w:val="none"/>
        </w:rPr>
        <w:t>00×</w:t>
      </w:r>
      <w:r>
        <w:rPr>
          <w:rFonts w:hint="eastAsia" w:ascii="Times New Roman" w:hAnsi="Times New Roman" w:eastAsia="宋体"/>
          <w:color w:val="000000"/>
          <w:sz w:val="21"/>
          <w:szCs w:val="21"/>
          <w:lang w:val="en-US" w:eastAsia="zh-CN"/>
        </w:rPr>
        <w:t>6.13</w:t>
      </w:r>
      <w:r>
        <w:rPr>
          <w:rFonts w:hint="default" w:ascii="Times New Roman" w:hAnsi="Times New Roman" w:eastAsia="宋体" w:cs="Times New Roman"/>
          <w:b/>
          <w:bCs w:val="0"/>
          <w:color w:val="auto"/>
          <w:sz w:val="21"/>
          <w:highlight w:val="none"/>
        </w:rPr>
        <w:t>×</w:t>
      </w:r>
      <w:r>
        <w:rPr>
          <w:rFonts w:hint="default" w:ascii="Times New Roman" w:hAnsi="Times New Roman" w:eastAsia="宋体" w:cs="Times New Roman"/>
          <w:bCs/>
          <w:color w:val="auto"/>
          <w:sz w:val="21"/>
          <w:highlight w:val="none"/>
          <w:lang w:val="en-US" w:eastAsia="zh-CN"/>
        </w:rPr>
        <w:t>3</w:t>
      </w:r>
      <w:r>
        <w:rPr>
          <w:rFonts w:hint="eastAsia" w:ascii="Times New Roman" w:hAnsi="Times New Roman" w:eastAsia="宋体" w:cs="Times New Roman"/>
          <w:bCs/>
          <w:color w:val="auto"/>
          <w:sz w:val="21"/>
          <w:highlight w:val="none"/>
          <w:lang w:val="en-US" w:eastAsia="zh-CN"/>
        </w:rPr>
        <w:t>608.77</w:t>
      </w:r>
      <w:r>
        <w:rPr>
          <w:rFonts w:hint="default" w:ascii="Times New Roman" w:hAnsi="Times New Roman" w:eastAsia="宋体" w:cs="Times New Roman"/>
          <w:b/>
          <w:bCs w:val="0"/>
          <w:color w:val="auto"/>
          <w:sz w:val="21"/>
          <w:highlight w:val="none"/>
        </w:rPr>
        <w:t>×0.8×10</w:t>
      </w:r>
      <w:r>
        <w:rPr>
          <w:rFonts w:hint="default" w:ascii="Times New Roman" w:hAnsi="Times New Roman" w:eastAsia="宋体" w:cs="Times New Roman"/>
          <w:b/>
          <w:bCs w:val="0"/>
          <w:color w:val="auto"/>
          <w:sz w:val="21"/>
          <w:highlight w:val="none"/>
          <w:vertAlign w:val="superscript"/>
        </w:rPr>
        <w:t>-6</w:t>
      </w:r>
      <w:r>
        <w:rPr>
          <w:rFonts w:hint="default" w:ascii="Times New Roman" w:hAnsi="Times New Roman" w:eastAsia="宋体" w:cs="Times New Roman"/>
          <w:b/>
          <w:bCs w:val="0"/>
          <w:color w:val="auto"/>
          <w:sz w:val="21"/>
          <w:highlight w:val="none"/>
        </w:rPr>
        <w:t>=</w:t>
      </w:r>
      <w:r>
        <w:rPr>
          <w:rFonts w:hint="eastAsia" w:cs="Times New Roman"/>
          <w:b/>
          <w:bCs w:val="0"/>
          <w:color w:val="auto"/>
          <w:sz w:val="21"/>
          <w:highlight w:val="none"/>
          <w:lang w:val="en-US" w:eastAsia="zh-CN"/>
        </w:rPr>
        <w:t>5.31</w:t>
      </w:r>
      <w:r>
        <w:rPr>
          <w:rFonts w:hint="default" w:ascii="Times New Roman" w:hAnsi="Times New Roman" w:eastAsia="宋体" w:cs="Times New Roman"/>
          <w:b/>
          <w:bCs w:val="0"/>
          <w:color w:val="auto"/>
          <w:sz w:val="21"/>
          <w:highlight w:val="none"/>
        </w:rPr>
        <w:t>t/a</w:t>
      </w:r>
    </w:p>
    <w:p w14:paraId="3940194D">
      <w:pPr>
        <w:spacing w:line="360" w:lineRule="auto"/>
        <w:ind w:firstLine="422" w:firstLineChars="200"/>
        <w:contextualSpacing/>
        <w:rPr>
          <w:rFonts w:hint="default" w:ascii="Times New Roman" w:hAnsi="Times New Roman" w:eastAsia="宋体" w:cs="Times New Roman"/>
          <w:b/>
          <w:bCs w:val="0"/>
          <w:color w:val="auto"/>
          <w:sz w:val="21"/>
          <w:highlight w:val="none"/>
        </w:rPr>
      </w:pPr>
      <w:r>
        <w:rPr>
          <w:rFonts w:hint="default" w:ascii="Times New Roman" w:hAnsi="Times New Roman" w:eastAsia="宋体" w:cs="Times New Roman"/>
          <w:b/>
          <w:bCs w:val="0"/>
          <w:color w:val="auto"/>
          <w:sz w:val="21"/>
          <w:highlight w:val="none"/>
        </w:rPr>
        <w:t>NO</w:t>
      </w:r>
      <w:r>
        <w:rPr>
          <w:rFonts w:hint="default" w:ascii="Times New Roman" w:hAnsi="Times New Roman" w:eastAsia="宋体" w:cs="Times New Roman"/>
          <w:b/>
          <w:bCs w:val="0"/>
          <w:color w:val="auto"/>
          <w:sz w:val="21"/>
          <w:highlight w:val="none"/>
          <w:vertAlign w:val="subscript"/>
        </w:rPr>
        <w:t>X</w:t>
      </w:r>
      <w:r>
        <w:rPr>
          <w:rFonts w:hint="default" w:ascii="Times New Roman" w:hAnsi="Times New Roman" w:eastAsia="宋体" w:cs="Times New Roman"/>
          <w:b/>
          <w:bCs w:val="0"/>
          <w:color w:val="auto"/>
          <w:sz w:val="21"/>
          <w:highlight w:val="none"/>
        </w:rPr>
        <w:t>=</w:t>
      </w:r>
      <w:r>
        <w:rPr>
          <w:rFonts w:hint="eastAsia" w:cs="Times New Roman"/>
          <w:b/>
          <w:bCs w:val="0"/>
          <w:color w:val="auto"/>
          <w:sz w:val="21"/>
          <w:highlight w:val="none"/>
          <w:lang w:val="en-US" w:eastAsia="zh-CN"/>
        </w:rPr>
        <w:t>3</w:t>
      </w:r>
      <w:r>
        <w:rPr>
          <w:rFonts w:hint="default" w:ascii="Times New Roman" w:hAnsi="Times New Roman" w:eastAsia="宋体" w:cs="Times New Roman"/>
          <w:b/>
          <w:bCs w:val="0"/>
          <w:color w:val="auto"/>
          <w:sz w:val="21"/>
          <w:highlight w:val="none"/>
        </w:rPr>
        <w:t>00×</w:t>
      </w:r>
      <w:r>
        <w:rPr>
          <w:rFonts w:hint="eastAsia" w:ascii="Times New Roman" w:hAnsi="Times New Roman" w:eastAsia="宋体"/>
          <w:color w:val="000000"/>
          <w:sz w:val="21"/>
          <w:szCs w:val="21"/>
          <w:lang w:val="en-US" w:eastAsia="zh-CN"/>
        </w:rPr>
        <w:t>6.13</w:t>
      </w:r>
      <w:r>
        <w:rPr>
          <w:rFonts w:hint="default" w:ascii="Times New Roman" w:hAnsi="Times New Roman" w:eastAsia="宋体" w:cs="Times New Roman"/>
          <w:b/>
          <w:bCs w:val="0"/>
          <w:color w:val="auto"/>
          <w:sz w:val="21"/>
          <w:highlight w:val="none"/>
        </w:rPr>
        <w:t>×</w:t>
      </w:r>
      <w:r>
        <w:rPr>
          <w:rFonts w:hint="default" w:ascii="Times New Roman" w:hAnsi="Times New Roman" w:eastAsia="宋体" w:cs="Times New Roman"/>
          <w:bCs/>
          <w:color w:val="auto"/>
          <w:sz w:val="21"/>
          <w:highlight w:val="none"/>
          <w:lang w:val="en-US" w:eastAsia="zh-CN"/>
        </w:rPr>
        <w:t>3</w:t>
      </w:r>
      <w:r>
        <w:rPr>
          <w:rFonts w:hint="eastAsia" w:ascii="Times New Roman" w:hAnsi="Times New Roman" w:eastAsia="宋体" w:cs="Times New Roman"/>
          <w:bCs/>
          <w:color w:val="auto"/>
          <w:sz w:val="21"/>
          <w:highlight w:val="none"/>
          <w:lang w:val="en-US" w:eastAsia="zh-CN"/>
        </w:rPr>
        <w:t>608.77</w:t>
      </w:r>
      <w:r>
        <w:rPr>
          <w:rFonts w:hint="default" w:ascii="Times New Roman" w:hAnsi="Times New Roman" w:eastAsia="宋体" w:cs="Times New Roman"/>
          <w:b/>
          <w:bCs w:val="0"/>
          <w:color w:val="auto"/>
          <w:sz w:val="21"/>
          <w:highlight w:val="none"/>
        </w:rPr>
        <w:t>×1×10</w:t>
      </w:r>
      <w:r>
        <w:rPr>
          <w:rFonts w:hint="default" w:ascii="Times New Roman" w:hAnsi="Times New Roman" w:eastAsia="宋体" w:cs="Times New Roman"/>
          <w:b/>
          <w:bCs w:val="0"/>
          <w:color w:val="auto"/>
          <w:sz w:val="21"/>
          <w:highlight w:val="none"/>
          <w:vertAlign w:val="superscript"/>
        </w:rPr>
        <w:t>-6</w:t>
      </w:r>
      <w:r>
        <w:rPr>
          <w:rFonts w:hint="default" w:ascii="Times New Roman" w:hAnsi="Times New Roman" w:eastAsia="宋体" w:cs="Times New Roman"/>
          <w:b/>
          <w:bCs w:val="0"/>
          <w:color w:val="auto"/>
          <w:sz w:val="21"/>
          <w:highlight w:val="none"/>
        </w:rPr>
        <w:t>=</w:t>
      </w:r>
      <w:r>
        <w:rPr>
          <w:rFonts w:hint="eastAsia" w:cs="Times New Roman"/>
          <w:b/>
          <w:bCs w:val="0"/>
          <w:color w:val="auto"/>
          <w:sz w:val="21"/>
          <w:highlight w:val="none"/>
          <w:lang w:val="en-US" w:eastAsia="zh-CN"/>
        </w:rPr>
        <w:t>6.64</w:t>
      </w:r>
      <w:r>
        <w:rPr>
          <w:rFonts w:hint="default" w:ascii="Times New Roman" w:hAnsi="Times New Roman" w:eastAsia="宋体" w:cs="Times New Roman"/>
          <w:b/>
          <w:bCs w:val="0"/>
          <w:color w:val="auto"/>
          <w:sz w:val="21"/>
          <w:highlight w:val="none"/>
        </w:rPr>
        <w:t>t/a</w:t>
      </w:r>
    </w:p>
    <w:p w14:paraId="4A51C238">
      <w:pPr>
        <w:spacing w:line="360" w:lineRule="auto"/>
        <w:ind w:firstLine="420" w:firstLineChars="200"/>
        <w:contextualSpacing/>
        <w:rPr>
          <w:rFonts w:hint="default" w:ascii="Times New Roman" w:hAnsi="Times New Roman" w:eastAsia="宋体" w:cs="Times New Roman"/>
          <w:b/>
          <w:color w:val="auto"/>
          <w:sz w:val="21"/>
          <w:highlight w:val="none"/>
          <w:lang w:val="en-US" w:eastAsia="zh-CN"/>
        </w:rPr>
      </w:pPr>
      <w:r>
        <w:rPr>
          <w:rFonts w:ascii="Times New Roman" w:hAnsi="Times New Roman" w:eastAsia="宋体"/>
          <w:color w:val="000000" w:themeColor="text1"/>
          <w:sz w:val="21"/>
          <w:szCs w:val="21"/>
          <w14:textFill>
            <w14:solidFill>
              <w14:schemeClr w14:val="tx1"/>
            </w14:solidFill>
          </w14:textFill>
        </w:rPr>
        <w:t>综上，本项目核定颗粒物排放量为</w:t>
      </w:r>
      <w:r>
        <w:rPr>
          <w:rFonts w:hint="eastAsia"/>
          <w:color w:val="000000" w:themeColor="text1"/>
          <w:sz w:val="21"/>
          <w:szCs w:val="21"/>
          <w:lang w:val="en-US" w:eastAsia="zh-CN"/>
          <w14:textFill>
            <w14:solidFill>
              <w14:schemeClr w14:val="tx1"/>
            </w14:solidFill>
          </w14:textFill>
        </w:rPr>
        <w:t>1.11</w:t>
      </w:r>
      <w:r>
        <w:rPr>
          <w:rFonts w:ascii="Times New Roman" w:hAnsi="Times New Roman" w:eastAsia="宋体"/>
          <w:color w:val="000000" w:themeColor="text1"/>
          <w:sz w:val="21"/>
          <w:szCs w:val="21"/>
          <w14:textFill>
            <w14:solidFill>
              <w14:schemeClr w14:val="tx1"/>
            </w14:solidFill>
          </w14:textFill>
        </w:rPr>
        <w:t>/ta；核定SO</w:t>
      </w:r>
      <w:r>
        <w:rPr>
          <w:rFonts w:ascii="Times New Roman" w:hAnsi="Times New Roman" w:eastAsia="宋体"/>
          <w:color w:val="000000" w:themeColor="text1"/>
          <w:sz w:val="21"/>
          <w:szCs w:val="21"/>
          <w:vertAlign w:val="subscript"/>
          <w14:textFill>
            <w14:solidFill>
              <w14:schemeClr w14:val="tx1"/>
            </w14:solidFill>
          </w14:textFill>
        </w:rPr>
        <w:t>2</w:t>
      </w:r>
      <w:r>
        <w:rPr>
          <w:rFonts w:ascii="Times New Roman" w:hAnsi="Times New Roman" w:eastAsia="宋体"/>
          <w:color w:val="000000" w:themeColor="text1"/>
          <w:sz w:val="21"/>
          <w:szCs w:val="21"/>
          <w14:textFill>
            <w14:solidFill>
              <w14:schemeClr w14:val="tx1"/>
            </w14:solidFill>
          </w14:textFill>
        </w:rPr>
        <w:t>排放量为</w:t>
      </w:r>
      <w:r>
        <w:rPr>
          <w:rFonts w:hint="eastAsia"/>
          <w:color w:val="000000" w:themeColor="text1"/>
          <w:sz w:val="21"/>
          <w:szCs w:val="21"/>
          <w:lang w:val="en-US" w:eastAsia="zh-CN"/>
          <w14:textFill>
            <w14:solidFill>
              <w14:schemeClr w14:val="tx1"/>
            </w14:solidFill>
          </w14:textFill>
        </w:rPr>
        <w:t>5.31</w:t>
      </w:r>
      <w:r>
        <w:rPr>
          <w:rFonts w:ascii="Times New Roman" w:hAnsi="Times New Roman" w:eastAsia="宋体"/>
          <w:color w:val="000000" w:themeColor="text1"/>
          <w:sz w:val="21"/>
          <w:szCs w:val="21"/>
          <w14:textFill>
            <w14:solidFill>
              <w14:schemeClr w14:val="tx1"/>
            </w14:solidFill>
          </w14:textFill>
        </w:rPr>
        <w:t>t/a；核定NO</w:t>
      </w:r>
      <w:r>
        <w:rPr>
          <w:rFonts w:ascii="Times New Roman" w:hAnsi="Times New Roman" w:eastAsia="宋体"/>
          <w:color w:val="000000" w:themeColor="text1"/>
          <w:sz w:val="21"/>
          <w:szCs w:val="21"/>
          <w:vertAlign w:val="subscript"/>
          <w14:textFill>
            <w14:solidFill>
              <w14:schemeClr w14:val="tx1"/>
            </w14:solidFill>
          </w14:textFill>
        </w:rPr>
        <w:t>x</w:t>
      </w:r>
      <w:r>
        <w:rPr>
          <w:rFonts w:ascii="Times New Roman" w:hAnsi="Times New Roman" w:eastAsia="宋体"/>
          <w:color w:val="000000" w:themeColor="text1"/>
          <w:sz w:val="21"/>
          <w:szCs w:val="21"/>
          <w14:textFill>
            <w14:solidFill>
              <w14:schemeClr w14:val="tx1"/>
            </w14:solidFill>
          </w14:textFill>
        </w:rPr>
        <w:t>排放量为</w:t>
      </w:r>
      <w:r>
        <w:rPr>
          <w:rFonts w:hint="eastAsia"/>
          <w:color w:val="000000" w:themeColor="text1"/>
          <w:sz w:val="21"/>
          <w:szCs w:val="21"/>
          <w:lang w:val="en-US" w:eastAsia="zh-CN"/>
          <w14:textFill>
            <w14:solidFill>
              <w14:schemeClr w14:val="tx1"/>
            </w14:solidFill>
          </w14:textFill>
        </w:rPr>
        <w:t>6.64</w:t>
      </w:r>
      <w:r>
        <w:rPr>
          <w:rFonts w:ascii="Times New Roman" w:hAnsi="Times New Roman" w:eastAsia="宋体"/>
          <w:color w:val="000000" w:themeColor="text1"/>
          <w:sz w:val="21"/>
          <w:szCs w:val="21"/>
          <w14:textFill>
            <w14:solidFill>
              <w14:schemeClr w14:val="tx1"/>
            </w14:solidFill>
          </w14:textFill>
        </w:rPr>
        <w:t>t/a。</w:t>
      </w:r>
    </w:p>
    <w:p w14:paraId="56BC3B69">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default" w:ascii="Times New Roman" w:hAnsi="Times New Roman" w:eastAsia="宋体" w:cs="Times New Roman"/>
          <w:b/>
          <w:bCs/>
          <w:color w:val="auto"/>
          <w:kern w:val="0"/>
          <w:sz w:val="21"/>
          <w:szCs w:val="24"/>
          <w:highlight w:val="none"/>
          <w:lang w:val="en-US" w:eastAsia="zh-CN"/>
        </w:rPr>
      </w:pPr>
      <w:r>
        <w:rPr>
          <w:rFonts w:hint="default" w:ascii="Times New Roman" w:hAnsi="Times New Roman" w:eastAsia="宋体" w:cs="Times New Roman"/>
          <w:b/>
          <w:bCs/>
          <w:color w:val="auto"/>
          <w:kern w:val="0"/>
          <w:sz w:val="21"/>
          <w:szCs w:val="24"/>
          <w:highlight w:val="none"/>
          <w:lang w:val="en-US" w:eastAsia="zh-CN"/>
        </w:rPr>
        <w:t>2、废水</w:t>
      </w:r>
    </w:p>
    <w:p w14:paraId="2109E4B0">
      <w:pPr>
        <w:pStyle w:val="16"/>
        <w:keepNext w:val="0"/>
        <w:keepLines w:val="0"/>
        <w:pageBreakBefore w:val="0"/>
        <w:widowControl/>
        <w:kinsoku/>
        <w:wordWrap/>
        <w:overflowPunct/>
        <w:topLinePunct w:val="0"/>
        <w:autoSpaceDE/>
        <w:autoSpaceDN/>
        <w:bidi w:val="0"/>
        <w:adjustRightInd/>
        <w:snapToGrid w:val="0"/>
        <w:spacing w:before="0" w:after="0" w:line="360" w:lineRule="auto"/>
        <w:ind w:right="0" w:firstLine="420" w:firstLineChars="200"/>
        <w:textAlignment w:val="auto"/>
        <w:rPr>
          <w:rFonts w:hint="default" w:ascii="Times New Roman" w:hAnsi="Times New Roman" w:eastAsia="宋体" w:cs="Times New Roman"/>
          <w:color w:val="auto"/>
          <w:kern w:val="0"/>
          <w:sz w:val="21"/>
          <w:highlight w:val="none"/>
        </w:rPr>
      </w:pPr>
      <w:r>
        <w:rPr>
          <w:rFonts w:hint="default" w:ascii="Times New Roman" w:hAnsi="Times New Roman" w:eastAsia="宋体" w:cs="Times New Roman"/>
          <w:color w:val="auto"/>
          <w:kern w:val="0"/>
          <w:sz w:val="21"/>
          <w:highlight w:val="none"/>
        </w:rPr>
        <w:t>软化处理废水及锅炉排污水</w:t>
      </w:r>
      <w:r>
        <w:rPr>
          <w:rFonts w:hint="default" w:ascii="Times New Roman" w:hAnsi="Times New Roman" w:eastAsia="宋体" w:cs="Times New Roman"/>
          <w:b w:val="0"/>
          <w:bCs w:val="0"/>
          <w:color w:val="auto"/>
          <w:sz w:val="21"/>
          <w:szCs w:val="24"/>
          <w:highlight w:val="none"/>
          <w:lang w:val="en-US" w:eastAsia="zh-CN"/>
        </w:rPr>
        <w:t>排放量为</w:t>
      </w:r>
      <w:r>
        <w:rPr>
          <w:rFonts w:hint="eastAsia" w:ascii="Times New Roman" w:hAnsi="Times New Roman" w:eastAsia="宋体" w:cs="Times New Roman"/>
          <w:b w:val="0"/>
          <w:bCs w:val="0"/>
          <w:color w:val="auto"/>
          <w:sz w:val="21"/>
          <w:szCs w:val="24"/>
          <w:highlight w:val="none"/>
          <w:lang w:val="en-US" w:eastAsia="zh-CN"/>
        </w:rPr>
        <w:t>12</w:t>
      </w:r>
      <w:r>
        <w:rPr>
          <w:rFonts w:hint="eastAsia" w:cs="Times New Roman"/>
          <w:b w:val="0"/>
          <w:bCs w:val="0"/>
          <w:color w:val="auto"/>
          <w:sz w:val="21"/>
          <w:szCs w:val="24"/>
          <w:highlight w:val="none"/>
          <w:lang w:val="en-US" w:eastAsia="zh-CN"/>
        </w:rPr>
        <w:t>48</w:t>
      </w:r>
      <w:r>
        <w:rPr>
          <w:rFonts w:hint="eastAsia" w:ascii="Times New Roman" w:hAnsi="Times New Roman" w:eastAsia="宋体" w:cs="Times New Roman"/>
          <w:b w:val="0"/>
          <w:bCs w:val="0"/>
          <w:color w:val="auto"/>
          <w:sz w:val="21"/>
          <w:szCs w:val="24"/>
          <w:highlight w:val="none"/>
          <w:lang w:val="en-US" w:eastAsia="zh-CN"/>
        </w:rPr>
        <w:t>.72</w:t>
      </w:r>
      <w:r>
        <w:rPr>
          <w:rFonts w:hint="default" w:ascii="Times New Roman" w:hAnsi="Times New Roman" w:eastAsia="宋体" w:cs="Times New Roman"/>
          <w:b w:val="0"/>
          <w:bCs w:val="0"/>
          <w:color w:val="auto"/>
          <w:sz w:val="21"/>
          <w:highlight w:val="none"/>
        </w:rPr>
        <w:t>t</w:t>
      </w:r>
      <w:r>
        <w:rPr>
          <w:rFonts w:hint="default" w:ascii="Times New Roman" w:hAnsi="Times New Roman" w:eastAsia="宋体" w:cs="Times New Roman"/>
          <w:b w:val="0"/>
          <w:bCs w:val="0"/>
          <w:color w:val="auto"/>
          <w:sz w:val="21"/>
          <w:highlight w:val="none"/>
          <w:lang w:eastAsia="zh-CN"/>
        </w:rPr>
        <w:t>/a。</w:t>
      </w:r>
    </w:p>
    <w:p w14:paraId="1607B368">
      <w:pPr>
        <w:pStyle w:val="16"/>
        <w:keepNext w:val="0"/>
        <w:keepLines w:val="0"/>
        <w:pageBreakBefore w:val="0"/>
        <w:widowControl/>
        <w:kinsoku/>
        <w:wordWrap/>
        <w:overflowPunct/>
        <w:topLinePunct w:val="0"/>
        <w:autoSpaceDE/>
        <w:autoSpaceDN/>
        <w:bidi w:val="0"/>
        <w:adjustRightInd/>
        <w:snapToGrid w:val="0"/>
        <w:spacing w:before="0" w:after="0" w:line="360" w:lineRule="auto"/>
        <w:ind w:left="239" w:leftChars="114" w:right="0" w:firstLine="210" w:firstLineChars="100"/>
        <w:textAlignment w:val="auto"/>
        <w:rPr>
          <w:rFonts w:hint="default" w:ascii="Times New Roman" w:hAnsi="Times New Roman" w:eastAsia="宋体" w:cs="Times New Roman"/>
          <w:b w:val="0"/>
          <w:bCs w:val="0"/>
          <w:color w:val="auto"/>
          <w:sz w:val="21"/>
          <w:szCs w:val="24"/>
          <w:highlight w:val="none"/>
        </w:rPr>
      </w:pPr>
      <w:r>
        <w:rPr>
          <w:rFonts w:hint="default" w:ascii="Times New Roman" w:hAnsi="Times New Roman" w:eastAsia="宋体" w:cs="Times New Roman"/>
          <w:b w:val="0"/>
          <w:bCs w:val="0"/>
          <w:color w:val="auto"/>
          <w:sz w:val="21"/>
          <w:szCs w:val="24"/>
          <w:highlight w:val="none"/>
          <w:lang w:val="en-US" w:eastAsia="zh-CN"/>
        </w:rPr>
        <w:t>本项目废水水质符合《污水综合排放标准》（GB8978-1996）三级标准，</w:t>
      </w:r>
      <w:r>
        <w:rPr>
          <w:rFonts w:hint="eastAsia" w:ascii="Times New Roman" w:hAnsi="Times New Roman" w:eastAsia="宋体" w:cs="Times New Roman"/>
          <w:b w:val="0"/>
          <w:bCs w:val="0"/>
          <w:color w:val="auto"/>
          <w:sz w:val="21"/>
          <w:szCs w:val="24"/>
          <w:highlight w:val="none"/>
          <w:lang w:val="en-US" w:eastAsia="zh-CN"/>
        </w:rPr>
        <w:t>定期拉运至铁力市</w:t>
      </w:r>
      <w:r>
        <w:rPr>
          <w:rFonts w:hint="default" w:ascii="Times New Roman" w:hAnsi="Times New Roman" w:eastAsia="宋体" w:cs="Times New Roman"/>
          <w:b w:val="0"/>
          <w:bCs w:val="0"/>
          <w:color w:val="auto"/>
          <w:sz w:val="21"/>
          <w:highlight w:val="none"/>
          <w:lang w:val="en-US" w:eastAsia="zh-CN"/>
        </w:rPr>
        <w:t>污水处理厂处理达标后排放</w:t>
      </w:r>
      <w:r>
        <w:rPr>
          <w:rFonts w:hint="default" w:ascii="Times New Roman" w:hAnsi="Times New Roman" w:eastAsia="宋体" w:cs="Times New Roman"/>
          <w:b w:val="0"/>
          <w:bCs w:val="0"/>
          <w:color w:val="auto"/>
          <w:sz w:val="21"/>
          <w:szCs w:val="24"/>
          <w:highlight w:val="none"/>
          <w:lang w:val="en-US" w:eastAsia="zh-CN"/>
        </w:rPr>
        <w:t>。</w:t>
      </w:r>
    </w:p>
    <w:p w14:paraId="3F46E8D7">
      <w:pPr>
        <w:pStyle w:val="53"/>
        <w:keepNext w:val="0"/>
        <w:keepLines w:val="0"/>
        <w:pageBreakBefore w:val="0"/>
        <w:kinsoku/>
        <w:wordWrap/>
        <w:overflowPunct/>
        <w:topLinePunct w:val="0"/>
        <w:autoSpaceDE/>
        <w:autoSpaceDN/>
        <w:bidi w:val="0"/>
        <w:adjustRightInd/>
        <w:snapToGrid/>
        <w:spacing w:line="360" w:lineRule="auto"/>
        <w:ind w:left="0" w:leftChars="0" w:firstLine="422" w:firstLineChars="200"/>
        <w:jc w:val="both"/>
        <w:textAlignment w:val="auto"/>
        <w:rPr>
          <w:rFonts w:hint="default" w:ascii="Times New Roman" w:hAnsi="Times New Roman" w:eastAsia="宋体" w:cs="Times New Roman"/>
          <w:b/>
          <w:bCs/>
          <w:color w:val="auto"/>
          <w:sz w:val="21"/>
          <w:szCs w:val="24"/>
          <w:highlight w:val="none"/>
        </w:rPr>
      </w:pPr>
      <w:r>
        <w:rPr>
          <w:rFonts w:hint="default" w:ascii="Times New Roman" w:hAnsi="Times New Roman" w:eastAsia="宋体" w:cs="Times New Roman"/>
          <w:b/>
          <w:bCs/>
          <w:color w:val="auto"/>
          <w:sz w:val="21"/>
          <w:szCs w:val="24"/>
          <w:highlight w:val="none"/>
          <w:lang w:val="en-US" w:eastAsia="zh-CN"/>
        </w:rPr>
        <w:t>COD核定</w:t>
      </w:r>
      <w:r>
        <w:rPr>
          <w:rFonts w:hint="default" w:ascii="Times New Roman" w:hAnsi="Times New Roman" w:eastAsia="宋体" w:cs="Times New Roman"/>
          <w:b/>
          <w:bCs/>
          <w:color w:val="auto"/>
          <w:sz w:val="21"/>
          <w:szCs w:val="24"/>
          <w:highlight w:val="none"/>
        </w:rPr>
        <w:t>排放量=</w:t>
      </w:r>
      <w:r>
        <w:rPr>
          <w:rFonts w:hint="eastAsia" w:cs="Times New Roman"/>
          <w:b/>
          <w:bCs/>
          <w:color w:val="auto"/>
          <w:sz w:val="21"/>
          <w:szCs w:val="24"/>
          <w:highlight w:val="none"/>
          <w:lang w:val="en-US" w:eastAsia="zh-CN"/>
        </w:rPr>
        <w:t>1248.72</w:t>
      </w:r>
      <w:r>
        <w:rPr>
          <w:rFonts w:hint="default" w:ascii="Times New Roman" w:hAnsi="Times New Roman" w:eastAsia="宋体" w:cs="Times New Roman"/>
          <w:b/>
          <w:bCs/>
          <w:color w:val="auto"/>
          <w:sz w:val="21"/>
          <w:szCs w:val="24"/>
          <w:highlight w:val="none"/>
        </w:rPr>
        <w:t>×</w:t>
      </w:r>
      <w:r>
        <w:rPr>
          <w:rFonts w:hint="default" w:ascii="Times New Roman" w:hAnsi="Times New Roman" w:eastAsia="宋体" w:cs="Times New Roman"/>
          <w:b/>
          <w:bCs/>
          <w:color w:val="auto"/>
          <w:sz w:val="21"/>
          <w:szCs w:val="24"/>
          <w:highlight w:val="none"/>
          <w:lang w:val="en-US" w:eastAsia="zh-CN"/>
        </w:rPr>
        <w:t>500</w:t>
      </w:r>
      <w:r>
        <w:rPr>
          <w:rFonts w:hint="default" w:ascii="Times New Roman" w:hAnsi="Times New Roman" w:eastAsia="宋体" w:cs="Times New Roman"/>
          <w:b/>
          <w:bCs/>
          <w:color w:val="auto"/>
          <w:sz w:val="21"/>
          <w:szCs w:val="24"/>
          <w:highlight w:val="none"/>
        </w:rPr>
        <w:t>mg/</w:t>
      </w:r>
      <w:r>
        <w:rPr>
          <w:rFonts w:hint="default" w:ascii="Times New Roman" w:hAnsi="Times New Roman" w:eastAsia="宋体" w:cs="Times New Roman"/>
          <w:b/>
          <w:bCs/>
          <w:color w:val="auto"/>
          <w:sz w:val="21"/>
          <w:szCs w:val="24"/>
          <w:highlight w:val="none"/>
          <w:lang w:val="en-US" w:eastAsia="zh-CN"/>
        </w:rPr>
        <w:t>L</w:t>
      </w:r>
      <w:r>
        <w:rPr>
          <w:rFonts w:hint="default" w:ascii="Times New Roman" w:hAnsi="Times New Roman" w:eastAsia="宋体" w:cs="Times New Roman"/>
          <w:b/>
          <w:bCs/>
          <w:color w:val="auto"/>
          <w:sz w:val="21"/>
          <w:szCs w:val="24"/>
          <w:highlight w:val="none"/>
        </w:rPr>
        <w:t>×10</w:t>
      </w:r>
      <w:r>
        <w:rPr>
          <w:rFonts w:hint="default" w:ascii="Times New Roman" w:hAnsi="Times New Roman" w:eastAsia="宋体" w:cs="Times New Roman"/>
          <w:b/>
          <w:bCs/>
          <w:color w:val="auto"/>
          <w:sz w:val="21"/>
          <w:szCs w:val="24"/>
          <w:highlight w:val="none"/>
          <w:vertAlign w:val="superscript"/>
        </w:rPr>
        <w:t>-6</w:t>
      </w:r>
      <w:r>
        <w:rPr>
          <w:rFonts w:hint="default" w:ascii="Times New Roman" w:hAnsi="Times New Roman" w:eastAsia="宋体" w:cs="Times New Roman"/>
          <w:b/>
          <w:bCs/>
          <w:color w:val="auto"/>
          <w:sz w:val="21"/>
          <w:szCs w:val="24"/>
          <w:highlight w:val="none"/>
        </w:rPr>
        <w:t>=</w:t>
      </w:r>
      <w:r>
        <w:rPr>
          <w:rFonts w:hint="default" w:ascii="Times New Roman" w:hAnsi="Times New Roman" w:eastAsia="宋体" w:cs="Times New Roman"/>
          <w:b/>
          <w:bCs/>
          <w:color w:val="auto"/>
          <w:sz w:val="21"/>
          <w:szCs w:val="24"/>
          <w:highlight w:val="none"/>
          <w:lang w:val="en-US" w:eastAsia="zh-CN"/>
        </w:rPr>
        <w:t>0.</w:t>
      </w:r>
      <w:r>
        <w:rPr>
          <w:rFonts w:hint="eastAsia" w:cs="Times New Roman"/>
          <w:b/>
          <w:bCs/>
          <w:color w:val="auto"/>
          <w:sz w:val="21"/>
          <w:szCs w:val="24"/>
          <w:highlight w:val="none"/>
          <w:lang w:val="en-US" w:eastAsia="zh-CN"/>
        </w:rPr>
        <w:t>62</w:t>
      </w:r>
      <w:r>
        <w:rPr>
          <w:rFonts w:hint="default" w:ascii="Times New Roman" w:hAnsi="Times New Roman" w:eastAsia="宋体" w:cs="Times New Roman"/>
          <w:b/>
          <w:bCs/>
          <w:color w:val="auto"/>
          <w:sz w:val="21"/>
          <w:szCs w:val="24"/>
          <w:highlight w:val="none"/>
        </w:rPr>
        <w:t>t/a</w:t>
      </w:r>
    </w:p>
    <w:bookmarkEnd w:id="89"/>
    <w:p w14:paraId="406687D3">
      <w:pPr>
        <w:pStyle w:val="1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eastAsia="宋体" w:cs="Times New Roman"/>
          <w:color w:val="auto"/>
          <w:sz w:val="21"/>
          <w:highlight w:val="none"/>
          <w:lang w:val="en-US" w:eastAsia="zh-CN"/>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2C6DD2A8">
      <w:pPr>
        <w:keepNext/>
        <w:adjustRightInd w:val="0"/>
        <w:snapToGrid w:val="0"/>
        <w:spacing w:line="500" w:lineRule="exact"/>
        <w:outlineLvl w:val="0"/>
        <w:rPr>
          <w:rFonts w:hint="default" w:ascii="黑体" w:hAnsi="黑体" w:eastAsia="黑体" w:cs="黑体"/>
          <w:b/>
          <w:color w:val="auto"/>
          <w:sz w:val="32"/>
          <w:szCs w:val="32"/>
          <w:highlight w:val="none"/>
          <w:lang w:val="en-US" w:eastAsia="zh-CN"/>
        </w:rPr>
      </w:pPr>
      <w:bookmarkStart w:id="98" w:name="_Toc9710"/>
      <w:r>
        <w:rPr>
          <w:rFonts w:hint="default" w:ascii="黑体" w:hAnsi="黑体" w:eastAsia="黑体" w:cs="黑体"/>
          <w:b/>
          <w:color w:val="auto"/>
          <w:sz w:val="32"/>
          <w:szCs w:val="32"/>
          <w:highlight w:val="none"/>
        </w:rPr>
        <w:t>附件</w:t>
      </w:r>
      <w:r>
        <w:rPr>
          <w:rFonts w:hint="default" w:ascii="黑体" w:hAnsi="黑体" w:eastAsia="黑体" w:cs="黑体"/>
          <w:b/>
          <w:color w:val="auto"/>
          <w:sz w:val="32"/>
          <w:szCs w:val="32"/>
          <w:highlight w:val="none"/>
          <w:lang w:val="en-US" w:eastAsia="zh-CN"/>
        </w:rPr>
        <w:t>6 现状检测报告</w:t>
      </w:r>
      <w:bookmarkEnd w:id="98"/>
    </w:p>
    <w:p w14:paraId="45B0803D">
      <w:pPr>
        <w:rPr>
          <w:rFonts w:hint="default"/>
          <w:lang w:val="en-US" w:eastAsia="zh-CN"/>
        </w:rPr>
      </w:pPr>
      <w:r>
        <w:rPr>
          <w:rFonts w:hint="default"/>
          <w:lang w:val="en-US" w:eastAsia="zh-CN"/>
        </w:rPr>
        <w:drawing>
          <wp:inline distT="0" distB="0" distL="114300" distR="114300">
            <wp:extent cx="5461635" cy="7691120"/>
            <wp:effectExtent l="0" t="0" r="5715" b="5080"/>
            <wp:docPr id="60" name="图片 60" descr="1762137820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1762137820871"/>
                    <pic:cNvPicPr>
                      <a:picLocks noChangeAspect="1"/>
                    </pic:cNvPicPr>
                  </pic:nvPicPr>
                  <pic:blipFill>
                    <a:blip r:embed="rId71"/>
                    <a:stretch>
                      <a:fillRect/>
                    </a:stretch>
                  </pic:blipFill>
                  <pic:spPr>
                    <a:xfrm>
                      <a:off x="0" y="0"/>
                      <a:ext cx="5461635" cy="7691120"/>
                    </a:xfrm>
                    <a:prstGeom prst="rect">
                      <a:avLst/>
                    </a:prstGeom>
                  </pic:spPr>
                </pic:pic>
              </a:graphicData>
            </a:graphic>
          </wp:inline>
        </w:drawing>
      </w:r>
    </w:p>
    <w:p w14:paraId="034570F6">
      <w:pPr>
        <w:rPr>
          <w:rFonts w:hint="default"/>
          <w:lang w:val="en-US" w:eastAsia="zh-CN"/>
        </w:rPr>
      </w:pPr>
      <w:r>
        <w:rPr>
          <w:rFonts w:hint="default"/>
          <w:lang w:val="en-US" w:eastAsia="zh-CN"/>
        </w:rPr>
        <w:drawing>
          <wp:inline distT="0" distB="0" distL="114300" distR="114300">
            <wp:extent cx="5735955" cy="7342505"/>
            <wp:effectExtent l="0" t="0" r="17145" b="10795"/>
            <wp:docPr id="61" name="图片 61" descr="1762137804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1762137804373"/>
                    <pic:cNvPicPr>
                      <a:picLocks noChangeAspect="1"/>
                    </pic:cNvPicPr>
                  </pic:nvPicPr>
                  <pic:blipFill>
                    <a:blip r:embed="rId72"/>
                    <a:stretch>
                      <a:fillRect/>
                    </a:stretch>
                  </pic:blipFill>
                  <pic:spPr>
                    <a:xfrm>
                      <a:off x="0" y="0"/>
                      <a:ext cx="5735955" cy="7342505"/>
                    </a:xfrm>
                    <a:prstGeom prst="rect">
                      <a:avLst/>
                    </a:prstGeom>
                  </pic:spPr>
                </pic:pic>
              </a:graphicData>
            </a:graphic>
          </wp:inline>
        </w:drawing>
      </w:r>
    </w:p>
    <w:p w14:paraId="7F50AA2B">
      <w:pPr>
        <w:rPr>
          <w:rFonts w:hint="default"/>
          <w:lang w:val="en-US" w:eastAsia="zh-CN"/>
        </w:rPr>
      </w:pPr>
      <w:r>
        <w:rPr>
          <w:rFonts w:hint="default"/>
          <w:lang w:val="en-US" w:eastAsia="zh-CN"/>
        </w:rPr>
        <w:drawing>
          <wp:inline distT="0" distB="0" distL="114300" distR="114300">
            <wp:extent cx="5427345" cy="7873365"/>
            <wp:effectExtent l="0" t="0" r="1905" b="13335"/>
            <wp:docPr id="62" name="图片 62" descr="1762137792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1762137792762"/>
                    <pic:cNvPicPr>
                      <a:picLocks noChangeAspect="1"/>
                    </pic:cNvPicPr>
                  </pic:nvPicPr>
                  <pic:blipFill>
                    <a:blip r:embed="rId73"/>
                    <a:stretch>
                      <a:fillRect/>
                    </a:stretch>
                  </pic:blipFill>
                  <pic:spPr>
                    <a:xfrm>
                      <a:off x="0" y="0"/>
                      <a:ext cx="5427345" cy="7873365"/>
                    </a:xfrm>
                    <a:prstGeom prst="rect">
                      <a:avLst/>
                    </a:prstGeom>
                  </pic:spPr>
                </pic:pic>
              </a:graphicData>
            </a:graphic>
          </wp:inline>
        </w:drawing>
      </w:r>
    </w:p>
    <w:p w14:paraId="214FB7D6">
      <w:pPr>
        <w:rPr>
          <w:rFonts w:hint="default"/>
          <w:lang w:val="en-US" w:eastAsia="zh-CN"/>
        </w:rPr>
      </w:pPr>
      <w:r>
        <w:rPr>
          <w:rFonts w:hint="default"/>
          <w:lang w:val="en-US" w:eastAsia="zh-CN"/>
        </w:rPr>
        <w:drawing>
          <wp:inline distT="0" distB="0" distL="114300" distR="114300">
            <wp:extent cx="5542280" cy="7890510"/>
            <wp:effectExtent l="0" t="0" r="1270" b="15240"/>
            <wp:docPr id="63" name="图片 63" descr="176213778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1762137781551"/>
                    <pic:cNvPicPr>
                      <a:picLocks noChangeAspect="1"/>
                    </pic:cNvPicPr>
                  </pic:nvPicPr>
                  <pic:blipFill>
                    <a:blip r:embed="rId74"/>
                    <a:stretch>
                      <a:fillRect/>
                    </a:stretch>
                  </pic:blipFill>
                  <pic:spPr>
                    <a:xfrm>
                      <a:off x="0" y="0"/>
                      <a:ext cx="5542280" cy="7890510"/>
                    </a:xfrm>
                    <a:prstGeom prst="rect">
                      <a:avLst/>
                    </a:prstGeom>
                  </pic:spPr>
                </pic:pic>
              </a:graphicData>
            </a:graphic>
          </wp:inline>
        </w:drawing>
      </w:r>
    </w:p>
    <w:p w14:paraId="699B26E9">
      <w:pPr>
        <w:rPr>
          <w:rFonts w:hint="default"/>
          <w:lang w:val="en-US" w:eastAsia="zh-CN"/>
        </w:rPr>
      </w:pPr>
      <w:bookmarkStart w:id="102" w:name="_GoBack"/>
      <w:r>
        <w:rPr>
          <w:rFonts w:hint="default"/>
          <w:lang w:val="en-US" w:eastAsia="zh-CN"/>
        </w:rPr>
        <w:drawing>
          <wp:inline distT="0" distB="0" distL="114300" distR="114300">
            <wp:extent cx="5449570" cy="8066405"/>
            <wp:effectExtent l="0" t="0" r="17780" b="10795"/>
            <wp:docPr id="64" name="图片 64" descr="1762137769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1762137769326"/>
                    <pic:cNvPicPr>
                      <a:picLocks noChangeAspect="1"/>
                    </pic:cNvPicPr>
                  </pic:nvPicPr>
                  <pic:blipFill>
                    <a:blip r:embed="rId75"/>
                    <a:stretch>
                      <a:fillRect/>
                    </a:stretch>
                  </pic:blipFill>
                  <pic:spPr>
                    <a:xfrm>
                      <a:off x="0" y="0"/>
                      <a:ext cx="5449570" cy="8066405"/>
                    </a:xfrm>
                    <a:prstGeom prst="rect">
                      <a:avLst/>
                    </a:prstGeom>
                  </pic:spPr>
                </pic:pic>
              </a:graphicData>
            </a:graphic>
          </wp:inline>
        </w:drawing>
      </w:r>
      <w:bookmarkEnd w:id="102"/>
    </w:p>
    <w:p w14:paraId="470598CC">
      <w:pPr>
        <w:pStyle w:val="1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rPr>
          <w:rFonts w:hint="default" w:ascii="Times New Roman" w:hAnsi="Times New Roman" w:cs="Times New Roman"/>
          <w:color w:val="auto"/>
          <w:highlight w:val="none"/>
          <w:lang w:val="en-US" w:eastAsia="zh-CN"/>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04F15293">
      <w:pPr>
        <w:keepNext/>
        <w:adjustRightInd w:val="0"/>
        <w:snapToGrid w:val="0"/>
        <w:spacing w:line="500" w:lineRule="exact"/>
        <w:outlineLvl w:val="0"/>
        <w:rPr>
          <w:rFonts w:hint="default" w:ascii="黑体" w:hAnsi="黑体" w:eastAsia="黑体" w:cs="黑体"/>
          <w:b/>
          <w:color w:val="auto"/>
          <w:sz w:val="32"/>
          <w:szCs w:val="32"/>
          <w:highlight w:val="none"/>
          <w:lang w:val="en-US" w:eastAsia="zh-CN"/>
        </w:rPr>
      </w:pPr>
      <w:bookmarkStart w:id="99" w:name="_Toc15902"/>
      <w:r>
        <w:rPr>
          <w:rFonts w:hint="default" w:ascii="黑体" w:hAnsi="黑体" w:eastAsia="黑体" w:cs="黑体"/>
          <w:b/>
          <w:color w:val="auto"/>
          <w:sz w:val="32"/>
          <w:szCs w:val="32"/>
          <w:highlight w:val="none"/>
        </w:rPr>
        <w:t>附件</w:t>
      </w:r>
      <w:r>
        <w:rPr>
          <w:rFonts w:hint="eastAsia" w:ascii="黑体" w:hAnsi="黑体" w:eastAsia="黑体" w:cs="黑体"/>
          <w:b/>
          <w:color w:val="auto"/>
          <w:sz w:val="32"/>
          <w:szCs w:val="32"/>
          <w:highlight w:val="none"/>
          <w:lang w:val="en-US" w:eastAsia="zh-CN"/>
        </w:rPr>
        <w:t>7</w:t>
      </w:r>
      <w:r>
        <w:rPr>
          <w:rFonts w:hint="default" w:ascii="黑体" w:hAnsi="黑体" w:eastAsia="黑体" w:cs="黑体"/>
          <w:b/>
          <w:color w:val="auto"/>
          <w:sz w:val="32"/>
          <w:szCs w:val="32"/>
          <w:highlight w:val="none"/>
          <w:lang w:val="en-US" w:eastAsia="zh-CN"/>
        </w:rPr>
        <w:t xml:space="preserve"> 生态环境分区管控分析报告</w:t>
      </w:r>
      <w:bookmarkEnd w:id="99"/>
    </w:p>
    <w:p w14:paraId="402BBA2A">
      <w:pPr>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eastAsia="zh-CN"/>
        </w:rPr>
        <w:drawing>
          <wp:inline distT="0" distB="0" distL="114300" distR="114300">
            <wp:extent cx="5615940" cy="3757295"/>
            <wp:effectExtent l="0" t="0" r="3810" b="14605"/>
            <wp:docPr id="92" name="图片 92" descr="1761640304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1761640304222"/>
                    <pic:cNvPicPr>
                      <a:picLocks noChangeAspect="1"/>
                    </pic:cNvPicPr>
                  </pic:nvPicPr>
                  <pic:blipFill>
                    <a:blip r:embed="rId76"/>
                    <a:stretch>
                      <a:fillRect/>
                    </a:stretch>
                  </pic:blipFill>
                  <pic:spPr>
                    <a:xfrm>
                      <a:off x="0" y="0"/>
                      <a:ext cx="5615940" cy="3757295"/>
                    </a:xfrm>
                    <a:prstGeom prst="rect">
                      <a:avLst/>
                    </a:prstGeom>
                  </pic:spPr>
                </pic:pic>
              </a:graphicData>
            </a:graphic>
          </wp:inline>
        </w:drawing>
      </w:r>
    </w:p>
    <w:p w14:paraId="3898EFAE">
      <w:pPr>
        <w:pStyle w:val="39"/>
        <w:rPr>
          <w:rFonts w:hint="eastAsia" w:eastAsia="宋体"/>
          <w:lang w:eastAsia="zh-CN"/>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r>
        <w:rPr>
          <w:rFonts w:hint="eastAsia" w:eastAsia="宋体"/>
          <w:lang w:eastAsia="zh-CN"/>
        </w:rPr>
        <w:drawing>
          <wp:inline distT="0" distB="0" distL="114300" distR="114300">
            <wp:extent cx="5611495" cy="3514090"/>
            <wp:effectExtent l="0" t="0" r="8255" b="10160"/>
            <wp:docPr id="79" name="图片 79" descr="1761640294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1761640294953"/>
                    <pic:cNvPicPr>
                      <a:picLocks noChangeAspect="1"/>
                    </pic:cNvPicPr>
                  </pic:nvPicPr>
                  <pic:blipFill>
                    <a:blip r:embed="rId77"/>
                    <a:stretch>
                      <a:fillRect/>
                    </a:stretch>
                  </pic:blipFill>
                  <pic:spPr>
                    <a:xfrm>
                      <a:off x="0" y="0"/>
                      <a:ext cx="5611495" cy="3514090"/>
                    </a:xfrm>
                    <a:prstGeom prst="rect">
                      <a:avLst/>
                    </a:prstGeom>
                  </pic:spPr>
                </pic:pic>
              </a:graphicData>
            </a:graphic>
          </wp:inline>
        </w:drawing>
      </w:r>
      <w:r>
        <w:rPr>
          <w:rFonts w:hint="eastAsia" w:eastAsia="宋体"/>
          <w:lang w:eastAsia="zh-CN"/>
        </w:rPr>
        <w:drawing>
          <wp:inline distT="0" distB="0" distL="114300" distR="114300">
            <wp:extent cx="5612130" cy="3481705"/>
            <wp:effectExtent l="0" t="0" r="7620" b="4445"/>
            <wp:docPr id="82" name="图片 82" descr="1761640284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1761640284566"/>
                    <pic:cNvPicPr>
                      <a:picLocks noChangeAspect="1"/>
                    </pic:cNvPicPr>
                  </pic:nvPicPr>
                  <pic:blipFill>
                    <a:blip r:embed="rId78"/>
                    <a:stretch>
                      <a:fillRect/>
                    </a:stretch>
                  </pic:blipFill>
                  <pic:spPr>
                    <a:xfrm>
                      <a:off x="0" y="0"/>
                      <a:ext cx="5612130" cy="3481705"/>
                    </a:xfrm>
                    <a:prstGeom prst="rect">
                      <a:avLst/>
                    </a:prstGeom>
                  </pic:spPr>
                </pic:pic>
              </a:graphicData>
            </a:graphic>
          </wp:inline>
        </w:drawing>
      </w:r>
      <w:r>
        <w:rPr>
          <w:rFonts w:hint="eastAsia" w:eastAsia="宋体"/>
          <w:lang w:eastAsia="zh-CN"/>
        </w:rPr>
        <w:drawing>
          <wp:inline distT="0" distB="0" distL="114300" distR="114300">
            <wp:extent cx="5615305" cy="3580130"/>
            <wp:effectExtent l="0" t="0" r="4445" b="1270"/>
            <wp:docPr id="84" name="图片 84" descr="1761640274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1761640274141"/>
                    <pic:cNvPicPr>
                      <a:picLocks noChangeAspect="1"/>
                    </pic:cNvPicPr>
                  </pic:nvPicPr>
                  <pic:blipFill>
                    <a:blip r:embed="rId79"/>
                    <a:stretch>
                      <a:fillRect/>
                    </a:stretch>
                  </pic:blipFill>
                  <pic:spPr>
                    <a:xfrm>
                      <a:off x="0" y="0"/>
                      <a:ext cx="5615305" cy="3580130"/>
                    </a:xfrm>
                    <a:prstGeom prst="rect">
                      <a:avLst/>
                    </a:prstGeom>
                  </pic:spPr>
                </pic:pic>
              </a:graphicData>
            </a:graphic>
          </wp:inline>
        </w:drawing>
      </w:r>
      <w:r>
        <w:rPr>
          <w:rFonts w:hint="eastAsia" w:eastAsia="宋体"/>
          <w:lang w:eastAsia="zh-CN"/>
        </w:rPr>
        <w:drawing>
          <wp:inline distT="0" distB="0" distL="114300" distR="114300">
            <wp:extent cx="5609590" cy="3696970"/>
            <wp:effectExtent l="0" t="0" r="10160" b="17780"/>
            <wp:docPr id="86" name="图片 86" descr="1761640263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1761640263084"/>
                    <pic:cNvPicPr>
                      <a:picLocks noChangeAspect="1"/>
                    </pic:cNvPicPr>
                  </pic:nvPicPr>
                  <pic:blipFill>
                    <a:blip r:embed="rId80"/>
                    <a:stretch>
                      <a:fillRect/>
                    </a:stretch>
                  </pic:blipFill>
                  <pic:spPr>
                    <a:xfrm>
                      <a:off x="0" y="0"/>
                      <a:ext cx="5609590" cy="3696970"/>
                    </a:xfrm>
                    <a:prstGeom prst="rect">
                      <a:avLst/>
                    </a:prstGeom>
                  </pic:spPr>
                </pic:pic>
              </a:graphicData>
            </a:graphic>
          </wp:inline>
        </w:drawing>
      </w:r>
      <w:r>
        <w:rPr>
          <w:rFonts w:hint="eastAsia" w:eastAsia="宋体"/>
          <w:lang w:eastAsia="zh-CN"/>
        </w:rPr>
        <w:drawing>
          <wp:inline distT="0" distB="0" distL="114300" distR="114300">
            <wp:extent cx="5724525" cy="3682365"/>
            <wp:effectExtent l="0" t="0" r="9525" b="13335"/>
            <wp:docPr id="87" name="图片 87" descr="1761640205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1761640205621"/>
                    <pic:cNvPicPr>
                      <a:picLocks noChangeAspect="1"/>
                    </pic:cNvPicPr>
                  </pic:nvPicPr>
                  <pic:blipFill>
                    <a:blip r:embed="rId81"/>
                    <a:stretch>
                      <a:fillRect/>
                    </a:stretch>
                  </pic:blipFill>
                  <pic:spPr>
                    <a:xfrm>
                      <a:off x="0" y="0"/>
                      <a:ext cx="5724525" cy="3682365"/>
                    </a:xfrm>
                    <a:prstGeom prst="rect">
                      <a:avLst/>
                    </a:prstGeom>
                  </pic:spPr>
                </pic:pic>
              </a:graphicData>
            </a:graphic>
          </wp:inline>
        </w:drawing>
      </w:r>
      <w:r>
        <w:rPr>
          <w:rFonts w:hint="eastAsia" w:eastAsia="宋体"/>
          <w:lang w:eastAsia="zh-CN"/>
        </w:rPr>
        <w:drawing>
          <wp:inline distT="0" distB="0" distL="114300" distR="114300">
            <wp:extent cx="5612130" cy="3926840"/>
            <wp:effectExtent l="0" t="0" r="7620" b="16510"/>
            <wp:docPr id="88" name="图片 88" descr="1761640194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1761640194401"/>
                    <pic:cNvPicPr>
                      <a:picLocks noChangeAspect="1"/>
                    </pic:cNvPicPr>
                  </pic:nvPicPr>
                  <pic:blipFill>
                    <a:blip r:embed="rId82"/>
                    <a:stretch>
                      <a:fillRect/>
                    </a:stretch>
                  </pic:blipFill>
                  <pic:spPr>
                    <a:xfrm>
                      <a:off x="0" y="0"/>
                      <a:ext cx="5612130" cy="3926840"/>
                    </a:xfrm>
                    <a:prstGeom prst="rect">
                      <a:avLst/>
                    </a:prstGeom>
                  </pic:spPr>
                </pic:pic>
              </a:graphicData>
            </a:graphic>
          </wp:inline>
        </w:drawing>
      </w:r>
      <w:r>
        <w:rPr>
          <w:rFonts w:hint="eastAsia" w:eastAsia="宋体"/>
          <w:lang w:eastAsia="zh-CN"/>
        </w:rPr>
        <w:drawing>
          <wp:inline distT="0" distB="0" distL="114300" distR="114300">
            <wp:extent cx="5610860" cy="3931285"/>
            <wp:effectExtent l="0" t="0" r="8890" b="12065"/>
            <wp:docPr id="89" name="图片 89" descr="1761640186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1761640186532"/>
                    <pic:cNvPicPr>
                      <a:picLocks noChangeAspect="1"/>
                    </pic:cNvPicPr>
                  </pic:nvPicPr>
                  <pic:blipFill>
                    <a:blip r:embed="rId83"/>
                    <a:stretch>
                      <a:fillRect/>
                    </a:stretch>
                  </pic:blipFill>
                  <pic:spPr>
                    <a:xfrm>
                      <a:off x="0" y="0"/>
                      <a:ext cx="5610860" cy="3931285"/>
                    </a:xfrm>
                    <a:prstGeom prst="rect">
                      <a:avLst/>
                    </a:prstGeom>
                  </pic:spPr>
                </pic:pic>
              </a:graphicData>
            </a:graphic>
          </wp:inline>
        </w:drawing>
      </w:r>
      <w:r>
        <w:rPr>
          <w:rFonts w:hint="eastAsia" w:eastAsia="宋体"/>
          <w:lang w:eastAsia="zh-CN"/>
        </w:rPr>
        <w:drawing>
          <wp:inline distT="0" distB="0" distL="114300" distR="114300">
            <wp:extent cx="5611495" cy="3588385"/>
            <wp:effectExtent l="0" t="0" r="8255" b="12065"/>
            <wp:docPr id="90" name="图片 90" descr="1761640178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1761640178959"/>
                    <pic:cNvPicPr>
                      <a:picLocks noChangeAspect="1"/>
                    </pic:cNvPicPr>
                  </pic:nvPicPr>
                  <pic:blipFill>
                    <a:blip r:embed="rId84"/>
                    <a:stretch>
                      <a:fillRect/>
                    </a:stretch>
                  </pic:blipFill>
                  <pic:spPr>
                    <a:xfrm>
                      <a:off x="0" y="0"/>
                      <a:ext cx="5611495" cy="3588385"/>
                    </a:xfrm>
                    <a:prstGeom prst="rect">
                      <a:avLst/>
                    </a:prstGeom>
                  </pic:spPr>
                </pic:pic>
              </a:graphicData>
            </a:graphic>
          </wp:inline>
        </w:drawing>
      </w:r>
      <w:r>
        <w:rPr>
          <w:rFonts w:hint="eastAsia" w:eastAsia="宋体"/>
          <w:lang w:eastAsia="zh-CN"/>
        </w:rPr>
        <w:drawing>
          <wp:inline distT="0" distB="0" distL="114300" distR="114300">
            <wp:extent cx="5614035" cy="3851910"/>
            <wp:effectExtent l="0" t="0" r="5715" b="15240"/>
            <wp:docPr id="91" name="图片 91" descr="1761640163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1761640163255"/>
                    <pic:cNvPicPr>
                      <a:picLocks noChangeAspect="1"/>
                    </pic:cNvPicPr>
                  </pic:nvPicPr>
                  <pic:blipFill>
                    <a:blip r:embed="rId85"/>
                    <a:stretch>
                      <a:fillRect/>
                    </a:stretch>
                  </pic:blipFill>
                  <pic:spPr>
                    <a:xfrm>
                      <a:off x="0" y="0"/>
                      <a:ext cx="5614035" cy="3851910"/>
                    </a:xfrm>
                    <a:prstGeom prst="rect">
                      <a:avLst/>
                    </a:prstGeom>
                  </pic:spPr>
                </pic:pic>
              </a:graphicData>
            </a:graphic>
          </wp:inline>
        </w:drawing>
      </w:r>
    </w:p>
    <w:p w14:paraId="2CC55DCA">
      <w:pPr>
        <w:keepNext/>
        <w:adjustRightInd w:val="0"/>
        <w:snapToGrid w:val="0"/>
        <w:spacing w:line="500" w:lineRule="exact"/>
        <w:outlineLvl w:val="0"/>
        <w:rPr>
          <w:rFonts w:hint="default" w:ascii="黑体" w:hAnsi="黑体" w:eastAsia="黑体" w:cs="黑体"/>
          <w:b/>
          <w:color w:val="auto"/>
          <w:sz w:val="32"/>
          <w:szCs w:val="32"/>
          <w:highlight w:val="none"/>
          <w:lang w:val="en-US" w:eastAsia="zh-CN"/>
        </w:rPr>
      </w:pPr>
      <w:bookmarkStart w:id="100" w:name="_Toc30801"/>
      <w:r>
        <w:rPr>
          <w:rFonts w:hint="default" w:ascii="黑体" w:hAnsi="黑体" w:eastAsia="黑体" w:cs="黑体"/>
          <w:b/>
          <w:color w:val="auto"/>
          <w:sz w:val="32"/>
          <w:szCs w:val="32"/>
          <w:highlight w:val="none"/>
        </w:rPr>
        <w:t>附件</w:t>
      </w:r>
      <w:r>
        <w:rPr>
          <w:rFonts w:hint="eastAsia" w:ascii="黑体" w:hAnsi="黑体" w:eastAsia="黑体" w:cs="黑体"/>
          <w:b/>
          <w:color w:val="auto"/>
          <w:sz w:val="32"/>
          <w:szCs w:val="32"/>
          <w:highlight w:val="none"/>
          <w:lang w:val="en-US" w:eastAsia="zh-CN"/>
        </w:rPr>
        <w:t>8</w:t>
      </w:r>
      <w:r>
        <w:rPr>
          <w:rFonts w:hint="default" w:ascii="黑体" w:hAnsi="黑体" w:eastAsia="黑体" w:cs="黑体"/>
          <w:b/>
          <w:color w:val="auto"/>
          <w:sz w:val="32"/>
          <w:szCs w:val="32"/>
          <w:highlight w:val="none"/>
          <w:lang w:val="en-US" w:eastAsia="zh-CN"/>
        </w:rPr>
        <w:t xml:space="preserve"> 排污许可登记回执</w:t>
      </w:r>
      <w:bookmarkEnd w:id="100"/>
    </w:p>
    <w:p w14:paraId="791D982B">
      <w:pPr>
        <w:rPr>
          <w:rFonts w:hint="eastAsia" w:ascii="Times New Roman" w:hAnsi="Times New Roman" w:eastAsia="宋体" w:cs="Times New Roman"/>
          <w:color w:val="auto"/>
          <w:highlight w:val="none"/>
          <w:lang w:eastAsia="zh-CN"/>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r>
        <w:rPr>
          <w:rFonts w:hint="eastAsia" w:ascii="Times New Roman" w:hAnsi="Times New Roman" w:eastAsia="宋体" w:cs="Times New Roman"/>
          <w:color w:val="auto"/>
          <w:highlight w:val="none"/>
          <w:lang w:eastAsia="zh-CN"/>
        </w:rPr>
        <w:drawing>
          <wp:inline distT="0" distB="0" distL="114300" distR="114300">
            <wp:extent cx="5614035" cy="7940040"/>
            <wp:effectExtent l="0" t="0" r="5715" b="3810"/>
            <wp:docPr id="36" name="图片 36" descr="登记回执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登记回执_1"/>
                    <pic:cNvPicPr>
                      <a:picLocks noChangeAspect="1"/>
                    </pic:cNvPicPr>
                  </pic:nvPicPr>
                  <pic:blipFill>
                    <a:blip r:embed="rId86"/>
                    <a:stretch>
                      <a:fillRect/>
                    </a:stretch>
                  </pic:blipFill>
                  <pic:spPr>
                    <a:xfrm>
                      <a:off x="0" y="0"/>
                      <a:ext cx="5614035" cy="7940040"/>
                    </a:xfrm>
                    <a:prstGeom prst="rect">
                      <a:avLst/>
                    </a:prstGeom>
                  </pic:spPr>
                </pic:pic>
              </a:graphicData>
            </a:graphic>
          </wp:inline>
        </w:drawing>
      </w:r>
    </w:p>
    <w:p w14:paraId="236EFEE7">
      <w:pPr>
        <w:keepNext/>
        <w:adjustRightInd w:val="0"/>
        <w:snapToGrid w:val="0"/>
        <w:spacing w:line="500" w:lineRule="exact"/>
        <w:outlineLvl w:val="0"/>
        <w:rPr>
          <w:rFonts w:hint="default" w:ascii="黑体" w:hAnsi="黑体" w:eastAsia="黑体" w:cs="黑体"/>
          <w:b/>
          <w:color w:val="auto"/>
          <w:sz w:val="32"/>
          <w:szCs w:val="32"/>
          <w:highlight w:val="none"/>
          <w:lang w:val="en-US" w:eastAsia="zh-CN"/>
        </w:rPr>
      </w:pPr>
      <w:bookmarkStart w:id="101" w:name="_Toc7155"/>
      <w:r>
        <w:rPr>
          <w:rFonts w:hint="default" w:ascii="黑体" w:hAnsi="黑体" w:eastAsia="黑体" w:cs="黑体"/>
          <w:b/>
          <w:color w:val="auto"/>
          <w:sz w:val="32"/>
          <w:szCs w:val="32"/>
          <w:highlight w:val="none"/>
        </w:rPr>
        <w:t>附件</w:t>
      </w:r>
      <w:r>
        <w:rPr>
          <w:rFonts w:hint="eastAsia" w:ascii="黑体" w:hAnsi="黑体" w:eastAsia="黑体" w:cs="黑体"/>
          <w:b/>
          <w:color w:val="auto"/>
          <w:sz w:val="32"/>
          <w:szCs w:val="32"/>
          <w:highlight w:val="none"/>
          <w:lang w:val="en-US" w:eastAsia="zh-CN"/>
        </w:rPr>
        <w:t>9</w:t>
      </w:r>
      <w:r>
        <w:rPr>
          <w:rFonts w:hint="default" w:ascii="黑体" w:hAnsi="黑体" w:eastAsia="黑体" w:cs="黑体"/>
          <w:b/>
          <w:color w:val="auto"/>
          <w:sz w:val="32"/>
          <w:szCs w:val="32"/>
          <w:highlight w:val="none"/>
          <w:lang w:val="en-US" w:eastAsia="zh-CN"/>
        </w:rPr>
        <w:t xml:space="preserve"> 类比锅炉废水监测报告（节选）</w:t>
      </w:r>
      <w:bookmarkEnd w:id="101"/>
    </w:p>
    <w:p w14:paraId="1E085108">
      <w:pPr>
        <w:pStyle w:val="30"/>
        <w:ind w:left="0" w:leftChars="0" w:firstLine="0" w:firstLineChars="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drawing>
          <wp:inline distT="0" distB="0" distL="114300" distR="114300">
            <wp:extent cx="5270500" cy="7289165"/>
            <wp:effectExtent l="0" t="0" r="0" b="635"/>
            <wp:docPr id="2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
                    <pic:cNvPicPr>
                      <a:picLocks noChangeAspect="1"/>
                    </pic:cNvPicPr>
                  </pic:nvPicPr>
                  <pic:blipFill>
                    <a:blip r:embed="rId87"/>
                    <a:stretch>
                      <a:fillRect/>
                    </a:stretch>
                  </pic:blipFill>
                  <pic:spPr>
                    <a:xfrm>
                      <a:off x="0" y="0"/>
                      <a:ext cx="5270500" cy="7289165"/>
                    </a:xfrm>
                    <a:prstGeom prst="rect">
                      <a:avLst/>
                    </a:prstGeom>
                    <a:noFill/>
                    <a:ln>
                      <a:noFill/>
                    </a:ln>
                  </pic:spPr>
                </pic:pic>
              </a:graphicData>
            </a:graphic>
          </wp:inline>
        </w:drawing>
      </w:r>
    </w:p>
    <w:p w14:paraId="46DCC015">
      <w:pPr>
        <w:rPr>
          <w:rFonts w:hint="default" w:ascii="Times New Roman" w:hAnsi="Times New Roman" w:cs="Times New Roman"/>
          <w:color w:val="auto"/>
          <w:highlight w:val="none"/>
          <w:lang w:eastAsia="zh-CN"/>
        </w:rPr>
      </w:pPr>
    </w:p>
    <w:p w14:paraId="5460BA80">
      <w:pPr>
        <w:pStyle w:val="54"/>
        <w:rPr>
          <w:rFonts w:hint="default" w:ascii="Times New Roman" w:hAnsi="Times New Roman" w:cs="Times New Roman"/>
          <w:color w:val="auto"/>
          <w:highlight w:val="none"/>
          <w:lang w:eastAsia="zh-CN"/>
        </w:rPr>
      </w:pPr>
    </w:p>
    <w:p w14:paraId="230D9216">
      <w:pPr>
        <w:rPr>
          <w:rFonts w:hint="default" w:ascii="Times New Roman" w:hAnsi="Times New Roman" w:cs="Times New Roman"/>
          <w:color w:val="auto"/>
          <w:highlight w:val="none"/>
          <w:lang w:eastAsia="zh-CN"/>
        </w:rPr>
        <w:sectPr>
          <w:pgSz w:w="11906" w:h="16838"/>
          <w:pgMar w:top="1077" w:right="1440" w:bottom="1077" w:left="144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B01E299">
      <w:pPr>
        <w:rPr>
          <w:rFonts w:hint="default" w:ascii="Times New Roman" w:hAnsi="Times New Roman" w:cs="Times New Roman"/>
          <w:color w:val="auto"/>
          <w:highlight w:val="none"/>
          <w:lang w:eastAsia="zh-CN"/>
        </w:rPr>
      </w:pPr>
      <w:r>
        <w:rPr>
          <w:rFonts w:hint="default" w:ascii="Times New Roman" w:hAnsi="Times New Roman" w:cs="Times New Roman"/>
          <w:color w:val="auto"/>
          <w:sz w:val="24"/>
          <w:szCs w:val="24"/>
          <w:highlight w:val="none"/>
        </w:rPr>
        <w:drawing>
          <wp:inline distT="0" distB="0" distL="114300" distR="114300">
            <wp:extent cx="5270500" cy="7712075"/>
            <wp:effectExtent l="0" t="0" r="6350" b="3175"/>
            <wp:docPr id="3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9"/>
                    <pic:cNvPicPr>
                      <a:picLocks noChangeAspect="1"/>
                    </pic:cNvPicPr>
                  </pic:nvPicPr>
                  <pic:blipFill>
                    <a:blip r:embed="rId88"/>
                    <a:stretch>
                      <a:fillRect/>
                    </a:stretch>
                  </pic:blipFill>
                  <pic:spPr>
                    <a:xfrm>
                      <a:off x="0" y="0"/>
                      <a:ext cx="5270500" cy="7712075"/>
                    </a:xfrm>
                    <a:prstGeom prst="rect">
                      <a:avLst/>
                    </a:prstGeom>
                    <a:noFill/>
                    <a:ln>
                      <a:noFill/>
                    </a:ln>
                  </pic:spPr>
                </pic:pic>
              </a:graphicData>
            </a:graphic>
          </wp:inline>
        </w:drawing>
      </w:r>
      <w:r>
        <w:rPr>
          <w:rFonts w:hint="default" w:ascii="Times New Roman" w:hAnsi="Times New Roman" w:cs="Times New Roman"/>
          <w:color w:val="auto"/>
          <w:sz w:val="24"/>
          <w:szCs w:val="24"/>
          <w:highlight w:val="none"/>
        </w:rPr>
        <w:drawing>
          <wp:inline distT="0" distB="0" distL="114300" distR="114300">
            <wp:extent cx="5270500" cy="7470775"/>
            <wp:effectExtent l="0" t="0" r="0" b="9525"/>
            <wp:docPr id="2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0"/>
                    <pic:cNvPicPr>
                      <a:picLocks noChangeAspect="1"/>
                    </pic:cNvPicPr>
                  </pic:nvPicPr>
                  <pic:blipFill>
                    <a:blip r:embed="rId89"/>
                    <a:stretch>
                      <a:fillRect/>
                    </a:stretch>
                  </pic:blipFill>
                  <pic:spPr>
                    <a:xfrm>
                      <a:off x="0" y="0"/>
                      <a:ext cx="5270500" cy="7470775"/>
                    </a:xfrm>
                    <a:prstGeom prst="rect">
                      <a:avLst/>
                    </a:prstGeom>
                    <a:noFill/>
                    <a:ln>
                      <a:noFill/>
                    </a:ln>
                  </pic:spPr>
                </pic:pic>
              </a:graphicData>
            </a:graphic>
          </wp:inline>
        </w:drawing>
      </w:r>
      <w:r>
        <w:rPr>
          <w:rFonts w:hint="default" w:ascii="Times New Roman" w:hAnsi="Times New Roman" w:cs="Times New Roman"/>
          <w:color w:val="auto"/>
          <w:sz w:val="24"/>
          <w:highlight w:val="none"/>
        </w:rPr>
        <mc:AlternateContent>
          <mc:Choice Requires="wps">
            <w:drawing>
              <wp:anchor distT="0" distB="0" distL="114300" distR="114300" simplePos="0" relativeHeight="251668480" behindDoc="0" locked="0" layoutInCell="1" allowOverlap="1">
                <wp:simplePos x="0" y="0"/>
                <wp:positionH relativeFrom="column">
                  <wp:posOffset>134620</wp:posOffset>
                </wp:positionH>
                <wp:positionV relativeFrom="paragraph">
                  <wp:posOffset>3739515</wp:posOffset>
                </wp:positionV>
                <wp:extent cx="5233035" cy="598805"/>
                <wp:effectExtent l="12700" t="12700" r="31115" b="17145"/>
                <wp:wrapNone/>
                <wp:docPr id="24" name="矩形 24"/>
                <wp:cNvGraphicFramePr/>
                <a:graphic xmlns:a="http://schemas.openxmlformats.org/drawingml/2006/main">
                  <a:graphicData uri="http://schemas.microsoft.com/office/word/2010/wordprocessingShape">
                    <wps:wsp>
                      <wps:cNvSpPr/>
                      <wps:spPr>
                        <a:xfrm>
                          <a:off x="1242060" y="3892550"/>
                          <a:ext cx="5233035" cy="598805"/>
                        </a:xfrm>
                        <a:prstGeom prst="rect">
                          <a:avLst/>
                        </a:prstGeom>
                        <a:noFill/>
                        <a:ln w="25400" cap="flat" cmpd="sng" algn="ctr">
                          <a:solidFill>
                            <a:srgbClr val="FF0000"/>
                          </a:solidFill>
                          <a:prstDash val="solid"/>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6pt;margin-top:294.45pt;height:47.15pt;width:412.05pt;z-index:251668480;v-text-anchor:middle;mso-width-relative:page;mso-height-relative:page;" filled="f" stroked="t" coordsize="21600,21600" o:gfxdata="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5Rf1rNkAAAAKAQAADwAAAAAAAAABACAAAAAiAAAAZHJzL2Rv&#10;d25yZXYueG1sUEsBAhQAFAAAAAgAh07iQBokY15yAgAA0AQAAA4AAAAAAAAAAQAgAAAAKAEAAGRy&#10;cy9lMm9Eb2MueG1sUEsFBgAAAAAGAAYAWQEAAAwGAAAAAA==&#10;">
                <v:fill on="f" focussize="0,0"/>
                <v:stroke weight="2pt" color="#FF0000" joinstyle="round"/>
                <v:imagedata o:title=""/>
                <o:lock v:ext="edit" aspectratio="f"/>
              </v:rect>
            </w:pict>
          </mc:Fallback>
        </mc:AlternateContent>
      </w:r>
      <w:r>
        <w:rPr>
          <w:rFonts w:hint="default" w:ascii="Times New Roman" w:hAnsi="Times New Roman" w:cs="Times New Roman"/>
          <w:color w:val="auto"/>
          <w:sz w:val="24"/>
          <w:szCs w:val="24"/>
          <w:highlight w:val="none"/>
        </w:rPr>
        <w:drawing>
          <wp:inline distT="0" distB="0" distL="114300" distR="114300">
            <wp:extent cx="5566410" cy="7962900"/>
            <wp:effectExtent l="0" t="0" r="15240" b="0"/>
            <wp:docPr id="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1"/>
                    <pic:cNvPicPr>
                      <a:picLocks noChangeAspect="1"/>
                    </pic:cNvPicPr>
                  </pic:nvPicPr>
                  <pic:blipFill>
                    <a:blip r:embed="rId90"/>
                    <a:stretch>
                      <a:fillRect/>
                    </a:stretch>
                  </pic:blipFill>
                  <pic:spPr>
                    <a:xfrm>
                      <a:off x="0" y="0"/>
                      <a:ext cx="5566410" cy="7962900"/>
                    </a:xfrm>
                    <a:prstGeom prst="rect">
                      <a:avLst/>
                    </a:prstGeom>
                    <a:noFill/>
                    <a:ln>
                      <a:noFill/>
                    </a:ln>
                  </pic:spPr>
                </pic:pic>
              </a:graphicData>
            </a:graphic>
          </wp:inline>
        </w:drawing>
      </w:r>
      <w:r>
        <w:rPr>
          <w:rFonts w:hint="default" w:ascii="Times New Roman" w:hAnsi="Times New Roman" w:cs="Times New Roman"/>
          <w:color w:val="auto"/>
          <w:sz w:val="24"/>
          <w:szCs w:val="24"/>
          <w:highlight w:val="none"/>
        </w:rPr>
        <w:drawing>
          <wp:inline distT="0" distB="0" distL="114300" distR="114300">
            <wp:extent cx="5270500" cy="7375525"/>
            <wp:effectExtent l="0" t="0" r="0" b="3175"/>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2"/>
                    <pic:cNvPicPr>
                      <a:picLocks noChangeAspect="1"/>
                    </pic:cNvPicPr>
                  </pic:nvPicPr>
                  <pic:blipFill>
                    <a:blip r:embed="rId91"/>
                    <a:stretch>
                      <a:fillRect/>
                    </a:stretch>
                  </pic:blipFill>
                  <pic:spPr>
                    <a:xfrm>
                      <a:off x="0" y="0"/>
                      <a:ext cx="5270500" cy="7375525"/>
                    </a:xfrm>
                    <a:prstGeom prst="rect">
                      <a:avLst/>
                    </a:prstGeom>
                    <a:noFill/>
                    <a:ln>
                      <a:noFill/>
                    </a:ln>
                  </pic:spPr>
                </pic:pic>
              </a:graphicData>
            </a:graphic>
          </wp:inline>
        </w:drawing>
      </w:r>
    </w:p>
    <w:p w14:paraId="4C7DF767">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br w:type="page"/>
      </w:r>
    </w:p>
    <w:p w14:paraId="7B11A2B3">
      <w:pPr>
        <w:keepNext/>
        <w:adjustRightInd w:val="0"/>
        <w:snapToGrid w:val="0"/>
        <w:spacing w:line="500" w:lineRule="exact"/>
        <w:outlineLvl w:val="0"/>
        <w:rPr>
          <w:rFonts w:hint="default" w:ascii="黑体" w:hAnsi="黑体" w:eastAsia="黑体" w:cs="黑体"/>
          <w:b/>
          <w:color w:val="auto"/>
          <w:sz w:val="32"/>
          <w:szCs w:val="32"/>
          <w:highlight w:val="none"/>
          <w:lang w:val="en-US" w:eastAsia="zh-CN"/>
        </w:rPr>
      </w:pPr>
      <w:r>
        <w:rPr>
          <w:rFonts w:hint="default" w:ascii="黑体" w:hAnsi="黑体" w:eastAsia="黑体" w:cs="黑体"/>
          <w:b/>
          <w:color w:val="auto"/>
          <w:sz w:val="32"/>
          <w:szCs w:val="32"/>
          <w:highlight w:val="none"/>
        </w:rPr>
        <w:t>附件</w:t>
      </w:r>
      <w:r>
        <w:rPr>
          <w:rFonts w:hint="eastAsia" w:ascii="黑体" w:hAnsi="黑体" w:eastAsia="黑体" w:cs="黑体"/>
          <w:b/>
          <w:color w:val="auto"/>
          <w:sz w:val="32"/>
          <w:szCs w:val="32"/>
          <w:highlight w:val="none"/>
          <w:lang w:val="en-US" w:eastAsia="zh-CN"/>
        </w:rPr>
        <w:t>10</w:t>
      </w:r>
      <w:r>
        <w:rPr>
          <w:rFonts w:hint="default" w:ascii="黑体" w:hAnsi="黑体" w:eastAsia="黑体" w:cs="黑体"/>
          <w:b/>
          <w:color w:val="auto"/>
          <w:sz w:val="32"/>
          <w:szCs w:val="32"/>
          <w:highlight w:val="none"/>
          <w:lang w:val="en-US" w:eastAsia="zh-CN"/>
        </w:rPr>
        <w:t xml:space="preserve"> </w:t>
      </w:r>
      <w:r>
        <w:rPr>
          <w:rFonts w:hint="eastAsia" w:ascii="黑体" w:hAnsi="黑体" w:eastAsia="黑体" w:cs="黑体"/>
          <w:b/>
          <w:color w:val="auto"/>
          <w:sz w:val="32"/>
          <w:szCs w:val="32"/>
          <w:highlight w:val="none"/>
          <w:lang w:val="en-US" w:eastAsia="zh-CN"/>
        </w:rPr>
        <w:t>原有验收批复</w:t>
      </w:r>
    </w:p>
    <w:p w14:paraId="36458E7C">
      <w:pPr>
        <w:pStyle w:val="39"/>
        <w:rPr>
          <w:rFonts w:hint="default"/>
          <w:lang w:val="en-US" w:eastAsia="zh-CN"/>
        </w:rPr>
      </w:pPr>
      <w:r>
        <w:rPr>
          <w:rFonts w:hint="default"/>
          <w:lang w:val="en-US" w:eastAsia="zh-CN"/>
        </w:rPr>
        <w:drawing>
          <wp:inline distT="0" distB="0" distL="114300" distR="114300">
            <wp:extent cx="5105400" cy="6934200"/>
            <wp:effectExtent l="0" t="0" r="0" b="0"/>
            <wp:docPr id="93" name="图片 93" descr="1761640521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1761640521007"/>
                    <pic:cNvPicPr>
                      <a:picLocks noChangeAspect="1"/>
                    </pic:cNvPicPr>
                  </pic:nvPicPr>
                  <pic:blipFill>
                    <a:blip r:embed="rId92"/>
                    <a:stretch>
                      <a:fillRect/>
                    </a:stretch>
                  </pic:blipFill>
                  <pic:spPr>
                    <a:xfrm>
                      <a:off x="0" y="0"/>
                      <a:ext cx="5105400" cy="6934200"/>
                    </a:xfrm>
                    <a:prstGeom prst="rect">
                      <a:avLst/>
                    </a:prstGeom>
                  </pic:spPr>
                </pic:pic>
              </a:graphicData>
            </a:graphic>
          </wp:inline>
        </w:drawing>
      </w:r>
      <w:r>
        <w:rPr>
          <w:rFonts w:hint="default"/>
          <w:lang w:val="en-US" w:eastAsia="zh-CN"/>
        </w:rPr>
        <w:drawing>
          <wp:inline distT="0" distB="0" distL="114300" distR="114300">
            <wp:extent cx="5229225" cy="7610475"/>
            <wp:effectExtent l="0" t="0" r="9525" b="9525"/>
            <wp:docPr id="95" name="图片 95" descr="1761640533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1761640533052"/>
                    <pic:cNvPicPr>
                      <a:picLocks noChangeAspect="1"/>
                    </pic:cNvPicPr>
                  </pic:nvPicPr>
                  <pic:blipFill>
                    <a:blip r:embed="rId93"/>
                    <a:stretch>
                      <a:fillRect/>
                    </a:stretch>
                  </pic:blipFill>
                  <pic:spPr>
                    <a:xfrm>
                      <a:off x="0" y="0"/>
                      <a:ext cx="5229225" cy="7610475"/>
                    </a:xfrm>
                    <a:prstGeom prst="rect">
                      <a:avLst/>
                    </a:prstGeom>
                  </pic:spPr>
                </pic:pic>
              </a:graphicData>
            </a:graphic>
          </wp:inline>
        </w:drawing>
      </w:r>
    </w:p>
    <w:p w14:paraId="6A58F849">
      <w:pPr>
        <w:rPr>
          <w:rFonts w:hint="default"/>
          <w:lang w:val="en-US" w:eastAsia="zh-CN"/>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477B7843">
      <w:pPr>
        <w:keepNext/>
        <w:adjustRightInd w:val="0"/>
        <w:snapToGrid w:val="0"/>
        <w:spacing w:line="500" w:lineRule="exact"/>
        <w:outlineLvl w:val="0"/>
        <w:rPr>
          <w:rFonts w:hint="eastAsia" w:ascii="黑体" w:hAnsi="黑体" w:eastAsia="黑体" w:cs="黑体"/>
          <w:b/>
          <w:color w:val="auto"/>
          <w:sz w:val="32"/>
          <w:szCs w:val="32"/>
          <w:highlight w:val="none"/>
          <w:lang w:val="en-US" w:eastAsia="zh-CN"/>
        </w:rPr>
      </w:pPr>
      <w:r>
        <w:rPr>
          <w:rFonts w:hint="default" w:ascii="黑体" w:hAnsi="黑体" w:eastAsia="黑体" w:cs="黑体"/>
          <w:b/>
          <w:color w:val="auto"/>
          <w:sz w:val="32"/>
          <w:szCs w:val="32"/>
          <w:highlight w:val="none"/>
        </w:rPr>
        <w:t>附件</w:t>
      </w:r>
      <w:r>
        <w:rPr>
          <w:rFonts w:hint="eastAsia" w:ascii="黑体" w:hAnsi="黑体" w:eastAsia="黑体" w:cs="黑体"/>
          <w:b/>
          <w:color w:val="auto"/>
          <w:sz w:val="32"/>
          <w:szCs w:val="32"/>
          <w:highlight w:val="none"/>
          <w:lang w:val="en-US" w:eastAsia="zh-CN"/>
        </w:rPr>
        <w:t>11</w:t>
      </w:r>
      <w:r>
        <w:rPr>
          <w:rFonts w:hint="default" w:ascii="黑体" w:hAnsi="黑体" w:eastAsia="黑体" w:cs="黑体"/>
          <w:b/>
          <w:color w:val="auto"/>
          <w:sz w:val="32"/>
          <w:szCs w:val="32"/>
          <w:highlight w:val="none"/>
          <w:lang w:val="en-US" w:eastAsia="zh-CN"/>
        </w:rPr>
        <w:t xml:space="preserve"> </w:t>
      </w:r>
      <w:r>
        <w:rPr>
          <w:rFonts w:hint="eastAsia" w:ascii="黑体" w:hAnsi="黑体" w:eastAsia="黑体" w:cs="黑体"/>
          <w:b/>
          <w:color w:val="auto"/>
          <w:sz w:val="32"/>
          <w:szCs w:val="32"/>
          <w:highlight w:val="none"/>
          <w:lang w:val="en-US" w:eastAsia="zh-CN"/>
        </w:rPr>
        <w:t>取水证</w:t>
      </w:r>
    </w:p>
    <w:p w14:paraId="17FD099C">
      <w:pPr>
        <w:pStyle w:val="39"/>
        <w:jc w:val="center"/>
        <w:rPr>
          <w:rFonts w:hint="default"/>
          <w:lang w:val="en-US" w:eastAsia="zh-CN"/>
        </w:rPr>
      </w:pPr>
      <w:r>
        <w:drawing>
          <wp:inline distT="0" distB="0" distL="114300" distR="114300">
            <wp:extent cx="7593965" cy="5106035"/>
            <wp:effectExtent l="0" t="0" r="6985" b="1841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94"/>
                    <a:stretch>
                      <a:fillRect/>
                    </a:stretch>
                  </pic:blipFill>
                  <pic:spPr>
                    <a:xfrm>
                      <a:off x="0" y="0"/>
                      <a:ext cx="7593965" cy="5106035"/>
                    </a:xfrm>
                    <a:prstGeom prst="rect">
                      <a:avLst/>
                    </a:prstGeom>
                    <a:noFill/>
                    <a:ln>
                      <a:noFill/>
                    </a:ln>
                  </pic:spPr>
                </pic:pic>
              </a:graphicData>
            </a:graphic>
          </wp:inline>
        </w:drawing>
      </w:r>
    </w:p>
    <w:sectPr>
      <w:type w:val="continuous"/>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swiss"/>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9EF6491-E280-4809-816F-B4E23D9DFAE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923EB01-1BCF-4E8A-AD37-7958B28EED3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书宋简体">
    <w:altName w:val="宋体"/>
    <w:panose1 w:val="02010601030101010101"/>
    <w:charset w:val="86"/>
    <w:family w:val="auto"/>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embedRegular r:id="rId3" w:fontKey="{1853572A-64BE-4CA7-A7B6-EF4378DB9E83}"/>
  </w:font>
  <w:font w:name="仿宋">
    <w:panose1 w:val="02010609060101010101"/>
    <w:charset w:val="86"/>
    <w:family w:val="auto"/>
    <w:pitch w:val="default"/>
    <w:sig w:usb0="800002BF" w:usb1="38CF7CFA" w:usb2="00000016" w:usb3="00000000" w:csb0="00040001" w:csb1="00000000"/>
    <w:embedRegular r:id="rId4" w:fontKey="{90CD9A3F-B33E-44F7-A114-DBCC014FE942}"/>
  </w:font>
  <w:font w:name="Lucida Console">
    <w:panose1 w:val="020B0609040504020204"/>
    <w:charset w:val="00"/>
    <w:family w:val="modern"/>
    <w:pitch w:val="default"/>
    <w:sig w:usb0="8000028F" w:usb1="00001800" w:usb2="00000000" w:usb3="00000000" w:csb0="0000001F" w:csb1="D7D7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embedRegular r:id="rId5" w:fontKey="{0AEDBBE9-4C07-4944-A19B-E171D6BD1649}"/>
  </w:font>
  <w:font w:name="楷体_GB2312">
    <w:altName w:val="楷体"/>
    <w:panose1 w:val="02010609030101010101"/>
    <w:charset w:val="86"/>
    <w:family w:val="modern"/>
    <w:pitch w:val="default"/>
    <w:sig w:usb0="00000000" w:usb1="00000000" w:usb2="00000000" w:usb3="00000000" w:csb0="00040000" w:csb1="00000000"/>
    <w:embedRegular r:id="rId6" w:fontKey="{3221A0F8-D071-4C88-9DA4-9B757C348026}"/>
  </w:font>
  <w:font w:name="楷体">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A00002AF" w:usb1="400078FB" w:usb2="00000000" w:usb3="00000000" w:csb0="6000009F" w:csb1="DFD7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Arial Unicode MS">
    <w:altName w:val="宋体"/>
    <w:panose1 w:val="020B0604020202020204"/>
    <w:charset w:val="86"/>
    <w:family w:val="auto"/>
    <w:pitch w:val="default"/>
    <w:sig w:usb0="00000000" w:usb1="00000000" w:usb2="0000007F" w:usb3="00000000" w:csb0="203F01FF" w:csb1="DFFF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华康简宋">
    <w:altName w:val="宋体"/>
    <w:panose1 w:val="00000000000000000000"/>
    <w:charset w:val="86"/>
    <w:family w:val="modern"/>
    <w:pitch w:val="default"/>
    <w:sig w:usb0="00000000" w:usb1="00000000" w:usb2="00000010" w:usb3="00000000" w:csb0="00040000" w:csb1="00000000"/>
  </w:font>
  <w:font w:name="方正小标宋_GBK">
    <w:altName w:val="微软雅黑"/>
    <w:panose1 w:val="02000000000000000000"/>
    <w:charset w:val="86"/>
    <w:family w:val="script"/>
    <w:pitch w:val="default"/>
    <w:sig w:usb0="00000000" w:usb1="00000000" w:usb2="00082016" w:usb3="00000000" w:csb0="00040001" w:csb1="00000000"/>
    <w:embedRegular r:id="rId7" w:fontKey="{5DFA94F3-5C5D-409B-A8BA-9CD4CC277308}"/>
  </w:font>
  <w:font w:name="方正小标宋简体">
    <w:panose1 w:val="02000000000000000000"/>
    <w:charset w:val="86"/>
    <w:family w:val="auto"/>
    <w:pitch w:val="default"/>
    <w:sig w:usb0="00000001" w:usb1="08000000" w:usb2="00000000" w:usb3="00000000" w:csb0="00040000" w:csb1="00000000"/>
    <w:embedRegular r:id="rId8" w:fontKey="{7FF986AC-B224-4265-B029-7BC292F432E3}"/>
  </w:font>
  <w:font w:name="Cambria Math">
    <w:panose1 w:val="02040503050406030204"/>
    <w:charset w:val="00"/>
    <w:family w:val="roman"/>
    <w:pitch w:val="default"/>
    <w:sig w:usb0="E00006FF" w:usb1="420024FF" w:usb2="02000000" w:usb3="00000000" w:csb0="2000019F" w:csb1="00000000"/>
    <w:embedRegular r:id="rId9" w:fontKey="{4D1BA116-806C-4F65-BCC7-8478634CCA7B}"/>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D27A6">
    <w:pPr>
      <w:pStyle w:val="25"/>
      <w:jc w:val="center"/>
    </w:pPr>
  </w:p>
  <w:p w14:paraId="6C629FCF">
    <w:pPr>
      <w:pStyle w:val="25"/>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F188F">
    <w:pPr>
      <w:pStyle w:val="2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01D31">
    <w:pPr>
      <w:pStyle w:val="2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14B7BD">
    <w:pPr>
      <w:pStyle w:val="2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767F67">
                          <w:pPr>
                            <w:pStyle w:val="2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YJdjxNAIAAGUEAAAOAAAAAAAAAAEAIAAAAB8BAABkcnMvZTJvRG9jLnhtbFBL&#10;BQYAAAAABgAGAFkBAADFBQAAAAA=&#10;">
              <v:fill on="f" focussize="0,0"/>
              <v:stroke on="f" weight="0.5pt"/>
              <v:imagedata o:title=""/>
              <o:lock v:ext="edit" aspectratio="f"/>
              <v:textbox inset="0mm,0mm,0mm,0mm" style="mso-fit-shape-to-text:t;">
                <w:txbxContent>
                  <w:p w14:paraId="06767F67">
                    <w:pPr>
                      <w:pStyle w:val="2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3B93D">
    <w:pPr>
      <w:pStyle w:val="2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 name="文本框 1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355DBC">
                          <w:pPr>
                            <w:pStyle w:val="25"/>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sc45A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sc45AzAgAAZQQAAA4AAAAAAAAAAQAgAAAAHwEAAGRycy9lMm9Eb2MueG1sUEsF&#10;BgAAAAAGAAYAWQEAAMQFAAAAAA==&#10;">
              <v:fill on="f" focussize="0,0"/>
              <v:stroke on="f" weight="0.5pt"/>
              <v:imagedata o:title=""/>
              <o:lock v:ext="edit" aspectratio="f"/>
              <v:textbox inset="0mm,0mm,0mm,0mm" style="mso-fit-shape-to-text:t;">
                <w:txbxContent>
                  <w:p w14:paraId="35355DBC">
                    <w:pPr>
                      <w:pStyle w:val="25"/>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B0C1B">
    <w:pPr>
      <w:pStyle w:val="2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 name="文本框 1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EAA107">
                          <w:pPr>
                            <w:pStyle w:val="25"/>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goH0MNAIAAGUEAAAOAAAAAAAAAAEAIAAAAB8BAABkcnMvZTJvRG9jLnhtbFBL&#10;BQYAAAAABgAGAFkBAADFBQAAAAA=&#10;">
              <v:fill on="f" focussize="0,0"/>
              <v:stroke on="f" weight="0.5pt"/>
              <v:imagedata o:title=""/>
              <o:lock v:ext="edit" aspectratio="f"/>
              <v:textbox inset="0mm,0mm,0mm,0mm" style="mso-fit-shape-to-text:t;">
                <w:txbxContent>
                  <w:p w14:paraId="52EAA107">
                    <w:pPr>
                      <w:pStyle w:val="25"/>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2288D">
    <w:pPr>
      <w:pStyle w:val="25"/>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6EC47F">
                          <w:pPr>
                            <w:pStyle w:val="25"/>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feMe4z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feMe4zAgAAZQQAAA4AAAAAAAAAAQAgAAAAHwEAAGRycy9lMm9Eb2MueG1sUEsF&#10;BgAAAAAGAAYAWQEAAMQFAAAAAA==&#10;">
              <v:fill on="f" focussize="0,0"/>
              <v:stroke on="f" weight="0.5pt"/>
              <v:imagedata o:title=""/>
              <o:lock v:ext="edit" aspectratio="f"/>
              <v:textbox inset="0mm,0mm,0mm,0mm" style="mso-fit-shape-to-text:t;">
                <w:txbxContent>
                  <w:p w14:paraId="306EC47F">
                    <w:pPr>
                      <w:pStyle w:val="25"/>
                    </w:pPr>
                    <w:r>
                      <w:fldChar w:fldCharType="begin"/>
                    </w:r>
                    <w:r>
                      <w:instrText xml:space="preserve"> PAGE  \* MERGEFORMAT </w:instrText>
                    </w:r>
                    <w:r>
                      <w:fldChar w:fldCharType="separate"/>
                    </w:r>
                    <w:r>
                      <w:t>49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B421A1">
    <w:pPr>
      <w:ind w:left="480"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06BBA6"/>
    <w:multiLevelType w:val="singleLevel"/>
    <w:tmpl w:val="B006BBA6"/>
    <w:lvl w:ilvl="0" w:tentative="0">
      <w:start w:val="2"/>
      <w:numFmt w:val="decimal"/>
      <w:suff w:val="nothing"/>
      <w:lvlText w:val="（%1）"/>
      <w:lvlJc w:val="left"/>
    </w:lvl>
  </w:abstractNum>
  <w:abstractNum w:abstractNumId="1">
    <w:nsid w:val="FA564C55"/>
    <w:multiLevelType w:val="singleLevel"/>
    <w:tmpl w:val="FA564C55"/>
    <w:lvl w:ilvl="0" w:tentative="0">
      <w:start w:val="1"/>
      <w:numFmt w:val="bullet"/>
      <w:pStyle w:val="21"/>
      <w:lvlText w:val=""/>
      <w:lvlJc w:val="left"/>
      <w:pPr>
        <w:tabs>
          <w:tab w:val="left" w:pos="2040"/>
        </w:tabs>
        <w:ind w:left="2040" w:hanging="360"/>
      </w:pPr>
      <w:rPr>
        <w:rFonts w:hint="default" w:ascii="Wingdings" w:hAnsi="Wingdings"/>
      </w:rPr>
    </w:lvl>
  </w:abstractNum>
  <w:abstractNum w:abstractNumId="2">
    <w:nsid w:val="1BBF192B"/>
    <w:multiLevelType w:val="singleLevel"/>
    <w:tmpl w:val="1BBF192B"/>
    <w:lvl w:ilvl="0" w:tentative="0">
      <w:start w:val="1"/>
      <w:numFmt w:val="decimal"/>
      <w:suff w:val="nothing"/>
      <w:lvlText w:val="%1、"/>
      <w:lvlJc w:val="left"/>
    </w:lvl>
  </w:abstractNum>
  <w:abstractNum w:abstractNumId="3">
    <w:nsid w:val="302C38F9"/>
    <w:multiLevelType w:val="multilevel"/>
    <w:tmpl w:val="302C38F9"/>
    <w:lvl w:ilvl="0" w:tentative="0">
      <w:start w:val="1"/>
      <w:numFmt w:val="upperLetter"/>
      <w:pStyle w:val="9"/>
      <w:lvlText w:val="%1."/>
      <w:lvlJc w:val="left"/>
      <w:pPr>
        <w:tabs>
          <w:tab w:val="left" w:pos="360"/>
        </w:tabs>
        <w:ind w:left="0" w:firstLine="0"/>
      </w:pPr>
    </w:lvl>
    <w:lvl w:ilvl="1" w:tentative="0">
      <w:start w:val="1"/>
      <w:numFmt w:val="upperLetter"/>
      <w:lvlText w:val="%2."/>
      <w:lvlJc w:val="left"/>
      <w:pPr>
        <w:tabs>
          <w:tab w:val="left" w:pos="360"/>
        </w:tabs>
        <w:ind w:left="0" w:firstLine="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39BA0F5C"/>
    <w:multiLevelType w:val="singleLevel"/>
    <w:tmpl w:val="39BA0F5C"/>
    <w:lvl w:ilvl="0" w:tentative="0">
      <w:start w:val="8"/>
      <w:numFmt w:val="decimal"/>
      <w:suff w:val="nothing"/>
      <w:lvlText w:val="%1、"/>
      <w:lvlJc w:val="left"/>
    </w:lvl>
  </w:abstractNum>
  <w:abstractNum w:abstractNumId="5">
    <w:nsid w:val="47EB4974"/>
    <w:multiLevelType w:val="multilevel"/>
    <w:tmpl w:val="47EB4974"/>
    <w:lvl w:ilvl="0" w:tentative="0">
      <w:start w:val="1"/>
      <w:numFmt w:val="decimal"/>
      <w:pStyle w:val="251"/>
      <w:suff w:val="nothing"/>
      <w:lvlText w:val="%1  "/>
      <w:lvlJc w:val="left"/>
      <w:pPr>
        <w:ind w:left="0" w:firstLine="0"/>
      </w:pPr>
      <w:rPr>
        <w:rFonts w:hint="eastAsia"/>
      </w:rPr>
    </w:lvl>
    <w:lvl w:ilvl="1" w:tentative="0">
      <w:start w:val="1"/>
      <w:numFmt w:val="decimal"/>
      <w:suff w:val="nothing"/>
      <w:lvlText w:val="%1.%2  "/>
      <w:lvlJc w:val="left"/>
      <w:pPr>
        <w:ind w:left="0" w:firstLine="0"/>
      </w:pPr>
      <w:rPr>
        <w:rFonts w:hint="eastAsia"/>
      </w:rPr>
    </w:lvl>
    <w:lvl w:ilvl="2" w:tentative="0">
      <w:start w:val="1"/>
      <w:numFmt w:val="decimal"/>
      <w:suff w:val="nothing"/>
      <w:lvlText w:val="%1.%2.%3  "/>
      <w:lvlJc w:val="left"/>
      <w:pPr>
        <w:ind w:left="0" w:firstLine="0"/>
      </w:pPr>
      <w:rPr>
        <w:rFonts w:hint="eastAsia"/>
      </w:rPr>
    </w:lvl>
    <w:lvl w:ilvl="3" w:tentative="0">
      <w:start w:val="1"/>
      <w:numFmt w:val="decimal"/>
      <w:suff w:val="nothing"/>
      <w:lvlText w:val="%1.%2.%3.%4  "/>
      <w:lvlJc w:val="left"/>
      <w:pPr>
        <w:ind w:left="710" w:firstLine="0"/>
      </w:pPr>
      <w:rPr>
        <w:rFonts w:hint="default" w:ascii="Times New Roman" w:hAnsi="Times New Roman" w:eastAsia="宋体"/>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6">
    <w:nsid w:val="4A9A9B28"/>
    <w:multiLevelType w:val="singleLevel"/>
    <w:tmpl w:val="4A9A9B28"/>
    <w:lvl w:ilvl="0" w:tentative="0">
      <w:start w:val="1"/>
      <w:numFmt w:val="chineseCounting"/>
      <w:suff w:val="nothing"/>
      <w:lvlText w:val="%1、"/>
      <w:lvlJc w:val="left"/>
      <w:rPr>
        <w:rFonts w:hint="eastAsia"/>
      </w:rPr>
    </w:lvl>
  </w:abstractNum>
  <w:num w:numId="1">
    <w:abstractNumId w:val="3"/>
  </w:num>
  <w:num w:numId="2">
    <w:abstractNumId w:val="1"/>
  </w:num>
  <w:num w:numId="3">
    <w:abstractNumId w:val="5"/>
  </w:num>
  <w:num w:numId="4">
    <w:abstractNumId w:val="6"/>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HorizontalSpacing w:val="105"/>
  <w:drawingGridVerticalSpacing w:val="163"/>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A14947"/>
    <w:rsid w:val="0000327C"/>
    <w:rsid w:val="000060B3"/>
    <w:rsid w:val="0001074D"/>
    <w:rsid w:val="0002028C"/>
    <w:rsid w:val="00032EC7"/>
    <w:rsid w:val="000333A1"/>
    <w:rsid w:val="00035798"/>
    <w:rsid w:val="00036B96"/>
    <w:rsid w:val="00037C45"/>
    <w:rsid w:val="000411BD"/>
    <w:rsid w:val="0004183C"/>
    <w:rsid w:val="000421A9"/>
    <w:rsid w:val="0004364B"/>
    <w:rsid w:val="00050FDB"/>
    <w:rsid w:val="00051B83"/>
    <w:rsid w:val="000530C3"/>
    <w:rsid w:val="00055FAE"/>
    <w:rsid w:val="0006031D"/>
    <w:rsid w:val="00060AF1"/>
    <w:rsid w:val="00061B1F"/>
    <w:rsid w:val="00061FC5"/>
    <w:rsid w:val="00062B86"/>
    <w:rsid w:val="00065FDC"/>
    <w:rsid w:val="00070BFE"/>
    <w:rsid w:val="000733C4"/>
    <w:rsid w:val="00074783"/>
    <w:rsid w:val="000769C4"/>
    <w:rsid w:val="0008070B"/>
    <w:rsid w:val="000810AC"/>
    <w:rsid w:val="00081A02"/>
    <w:rsid w:val="00082231"/>
    <w:rsid w:val="00082384"/>
    <w:rsid w:val="00083486"/>
    <w:rsid w:val="00084A21"/>
    <w:rsid w:val="00087DA1"/>
    <w:rsid w:val="00092D38"/>
    <w:rsid w:val="0009377B"/>
    <w:rsid w:val="00094B47"/>
    <w:rsid w:val="00096AC3"/>
    <w:rsid w:val="0009777D"/>
    <w:rsid w:val="000A13C3"/>
    <w:rsid w:val="000A2066"/>
    <w:rsid w:val="000A20C9"/>
    <w:rsid w:val="000A4749"/>
    <w:rsid w:val="000A64AD"/>
    <w:rsid w:val="000A68DB"/>
    <w:rsid w:val="000A6D48"/>
    <w:rsid w:val="000A7035"/>
    <w:rsid w:val="000B058F"/>
    <w:rsid w:val="000B10DA"/>
    <w:rsid w:val="000B3AF4"/>
    <w:rsid w:val="000B4467"/>
    <w:rsid w:val="000B4DB9"/>
    <w:rsid w:val="000B5C1D"/>
    <w:rsid w:val="000C09AC"/>
    <w:rsid w:val="000C258F"/>
    <w:rsid w:val="000C37C8"/>
    <w:rsid w:val="000C565D"/>
    <w:rsid w:val="000C60F0"/>
    <w:rsid w:val="000C6ABE"/>
    <w:rsid w:val="000C767F"/>
    <w:rsid w:val="000D138D"/>
    <w:rsid w:val="000D5A44"/>
    <w:rsid w:val="000D6AB2"/>
    <w:rsid w:val="000D765B"/>
    <w:rsid w:val="000D7B06"/>
    <w:rsid w:val="000E213E"/>
    <w:rsid w:val="000E3ED2"/>
    <w:rsid w:val="000E6A97"/>
    <w:rsid w:val="000E7B20"/>
    <w:rsid w:val="001003CB"/>
    <w:rsid w:val="0010086E"/>
    <w:rsid w:val="001028B8"/>
    <w:rsid w:val="001048CC"/>
    <w:rsid w:val="001049D3"/>
    <w:rsid w:val="00106D32"/>
    <w:rsid w:val="00106DA3"/>
    <w:rsid w:val="001071F6"/>
    <w:rsid w:val="00110FA9"/>
    <w:rsid w:val="0011204E"/>
    <w:rsid w:val="00112907"/>
    <w:rsid w:val="00114805"/>
    <w:rsid w:val="00117044"/>
    <w:rsid w:val="0012064E"/>
    <w:rsid w:val="00120722"/>
    <w:rsid w:val="00121A80"/>
    <w:rsid w:val="00121D2C"/>
    <w:rsid w:val="00123621"/>
    <w:rsid w:val="0012368D"/>
    <w:rsid w:val="00130892"/>
    <w:rsid w:val="00131CE2"/>
    <w:rsid w:val="00131F42"/>
    <w:rsid w:val="001357F1"/>
    <w:rsid w:val="00136BBC"/>
    <w:rsid w:val="00140FA8"/>
    <w:rsid w:val="00142FEB"/>
    <w:rsid w:val="00143A2D"/>
    <w:rsid w:val="00144CC2"/>
    <w:rsid w:val="001453FA"/>
    <w:rsid w:val="00145A41"/>
    <w:rsid w:val="00145C73"/>
    <w:rsid w:val="00146203"/>
    <w:rsid w:val="00151675"/>
    <w:rsid w:val="001553ED"/>
    <w:rsid w:val="001571FF"/>
    <w:rsid w:val="00157435"/>
    <w:rsid w:val="00157F58"/>
    <w:rsid w:val="001604E3"/>
    <w:rsid w:val="001619CC"/>
    <w:rsid w:val="00165D9D"/>
    <w:rsid w:val="001673EA"/>
    <w:rsid w:val="001703FC"/>
    <w:rsid w:val="0017346C"/>
    <w:rsid w:val="00173EE6"/>
    <w:rsid w:val="0017504D"/>
    <w:rsid w:val="001755D5"/>
    <w:rsid w:val="0017671A"/>
    <w:rsid w:val="00177422"/>
    <w:rsid w:val="00182A90"/>
    <w:rsid w:val="00182BE9"/>
    <w:rsid w:val="00183D00"/>
    <w:rsid w:val="00184590"/>
    <w:rsid w:val="00186948"/>
    <w:rsid w:val="00186D4A"/>
    <w:rsid w:val="001870D1"/>
    <w:rsid w:val="0018781E"/>
    <w:rsid w:val="00191148"/>
    <w:rsid w:val="0019262D"/>
    <w:rsid w:val="00195E96"/>
    <w:rsid w:val="0019600E"/>
    <w:rsid w:val="00197D27"/>
    <w:rsid w:val="001A0C54"/>
    <w:rsid w:val="001A1B35"/>
    <w:rsid w:val="001A48A2"/>
    <w:rsid w:val="001A6F61"/>
    <w:rsid w:val="001B223C"/>
    <w:rsid w:val="001B6E57"/>
    <w:rsid w:val="001B72B8"/>
    <w:rsid w:val="001C192A"/>
    <w:rsid w:val="001C1F6A"/>
    <w:rsid w:val="001C2424"/>
    <w:rsid w:val="001C66E0"/>
    <w:rsid w:val="001C69B3"/>
    <w:rsid w:val="001C720F"/>
    <w:rsid w:val="001C7CB6"/>
    <w:rsid w:val="001D03B3"/>
    <w:rsid w:val="001D0400"/>
    <w:rsid w:val="001D0452"/>
    <w:rsid w:val="001D1F6C"/>
    <w:rsid w:val="001D201D"/>
    <w:rsid w:val="001D4032"/>
    <w:rsid w:val="001D5185"/>
    <w:rsid w:val="001D5595"/>
    <w:rsid w:val="001D7874"/>
    <w:rsid w:val="001D7A99"/>
    <w:rsid w:val="001D7F22"/>
    <w:rsid w:val="001E504B"/>
    <w:rsid w:val="001E7194"/>
    <w:rsid w:val="001E747E"/>
    <w:rsid w:val="001F04E7"/>
    <w:rsid w:val="001F0F17"/>
    <w:rsid w:val="001F3347"/>
    <w:rsid w:val="001F69E4"/>
    <w:rsid w:val="001F76AB"/>
    <w:rsid w:val="00200F43"/>
    <w:rsid w:val="00201259"/>
    <w:rsid w:val="002014C4"/>
    <w:rsid w:val="00203A29"/>
    <w:rsid w:val="002046D1"/>
    <w:rsid w:val="002050E6"/>
    <w:rsid w:val="00206413"/>
    <w:rsid w:val="00206468"/>
    <w:rsid w:val="002103EF"/>
    <w:rsid w:val="002125B4"/>
    <w:rsid w:val="002155B8"/>
    <w:rsid w:val="00220688"/>
    <w:rsid w:val="0022132C"/>
    <w:rsid w:val="002216BD"/>
    <w:rsid w:val="00223292"/>
    <w:rsid w:val="00224156"/>
    <w:rsid w:val="00224241"/>
    <w:rsid w:val="00224839"/>
    <w:rsid w:val="002249B2"/>
    <w:rsid w:val="002258CC"/>
    <w:rsid w:val="00225A2A"/>
    <w:rsid w:val="00226574"/>
    <w:rsid w:val="00226D0F"/>
    <w:rsid w:val="002270EE"/>
    <w:rsid w:val="002278EC"/>
    <w:rsid w:val="0023139B"/>
    <w:rsid w:val="0023280E"/>
    <w:rsid w:val="00232F57"/>
    <w:rsid w:val="00233DAC"/>
    <w:rsid w:val="002377D1"/>
    <w:rsid w:val="00240F07"/>
    <w:rsid w:val="00241630"/>
    <w:rsid w:val="00241F09"/>
    <w:rsid w:val="002433E9"/>
    <w:rsid w:val="0024452A"/>
    <w:rsid w:val="00244BE6"/>
    <w:rsid w:val="0024660F"/>
    <w:rsid w:val="002506BC"/>
    <w:rsid w:val="00252290"/>
    <w:rsid w:val="00254345"/>
    <w:rsid w:val="00255140"/>
    <w:rsid w:val="00260F5B"/>
    <w:rsid w:val="00263017"/>
    <w:rsid w:val="00264557"/>
    <w:rsid w:val="0027384B"/>
    <w:rsid w:val="00273CB0"/>
    <w:rsid w:val="002749A8"/>
    <w:rsid w:val="00275C00"/>
    <w:rsid w:val="00275F3D"/>
    <w:rsid w:val="0028053D"/>
    <w:rsid w:val="002805AB"/>
    <w:rsid w:val="0028143D"/>
    <w:rsid w:val="00284204"/>
    <w:rsid w:val="00286B17"/>
    <w:rsid w:val="002872A4"/>
    <w:rsid w:val="00290255"/>
    <w:rsid w:val="00291773"/>
    <w:rsid w:val="00291CF1"/>
    <w:rsid w:val="00293242"/>
    <w:rsid w:val="0029663D"/>
    <w:rsid w:val="002974CA"/>
    <w:rsid w:val="0029782D"/>
    <w:rsid w:val="00297BE7"/>
    <w:rsid w:val="002A0E8A"/>
    <w:rsid w:val="002A168C"/>
    <w:rsid w:val="002A1BD8"/>
    <w:rsid w:val="002A1C3A"/>
    <w:rsid w:val="002A3DC7"/>
    <w:rsid w:val="002A3F6C"/>
    <w:rsid w:val="002A5737"/>
    <w:rsid w:val="002A6561"/>
    <w:rsid w:val="002A6D2E"/>
    <w:rsid w:val="002A6F9A"/>
    <w:rsid w:val="002B25AD"/>
    <w:rsid w:val="002B49E2"/>
    <w:rsid w:val="002B4CBA"/>
    <w:rsid w:val="002B5C23"/>
    <w:rsid w:val="002B7B00"/>
    <w:rsid w:val="002B7C44"/>
    <w:rsid w:val="002C26F8"/>
    <w:rsid w:val="002C2B17"/>
    <w:rsid w:val="002C49FF"/>
    <w:rsid w:val="002C6614"/>
    <w:rsid w:val="002D3CD4"/>
    <w:rsid w:val="002D3DD0"/>
    <w:rsid w:val="002D58A1"/>
    <w:rsid w:val="002E015E"/>
    <w:rsid w:val="002E1F3A"/>
    <w:rsid w:val="002E216A"/>
    <w:rsid w:val="002E298A"/>
    <w:rsid w:val="002E4511"/>
    <w:rsid w:val="002E79D2"/>
    <w:rsid w:val="002F52A4"/>
    <w:rsid w:val="00300FC7"/>
    <w:rsid w:val="00301978"/>
    <w:rsid w:val="003029A3"/>
    <w:rsid w:val="0030332C"/>
    <w:rsid w:val="003051C2"/>
    <w:rsid w:val="00305EC3"/>
    <w:rsid w:val="00307A95"/>
    <w:rsid w:val="00311C29"/>
    <w:rsid w:val="00312296"/>
    <w:rsid w:val="00314F0E"/>
    <w:rsid w:val="00321D8E"/>
    <w:rsid w:val="00325072"/>
    <w:rsid w:val="00325222"/>
    <w:rsid w:val="00325928"/>
    <w:rsid w:val="0032642A"/>
    <w:rsid w:val="00332863"/>
    <w:rsid w:val="0033604A"/>
    <w:rsid w:val="0033684D"/>
    <w:rsid w:val="00337B42"/>
    <w:rsid w:val="00341B42"/>
    <w:rsid w:val="00342BE6"/>
    <w:rsid w:val="0034348F"/>
    <w:rsid w:val="0034427C"/>
    <w:rsid w:val="003468B0"/>
    <w:rsid w:val="00346A20"/>
    <w:rsid w:val="00352773"/>
    <w:rsid w:val="00356653"/>
    <w:rsid w:val="0035743F"/>
    <w:rsid w:val="00357BE2"/>
    <w:rsid w:val="0036170C"/>
    <w:rsid w:val="00362626"/>
    <w:rsid w:val="00366E0F"/>
    <w:rsid w:val="00373452"/>
    <w:rsid w:val="00380130"/>
    <w:rsid w:val="00381A72"/>
    <w:rsid w:val="0038255F"/>
    <w:rsid w:val="00383762"/>
    <w:rsid w:val="00384676"/>
    <w:rsid w:val="0038516D"/>
    <w:rsid w:val="00387AB5"/>
    <w:rsid w:val="00390086"/>
    <w:rsid w:val="00390604"/>
    <w:rsid w:val="00390857"/>
    <w:rsid w:val="00394957"/>
    <w:rsid w:val="00394B9A"/>
    <w:rsid w:val="0039685E"/>
    <w:rsid w:val="003A27CC"/>
    <w:rsid w:val="003A4BF3"/>
    <w:rsid w:val="003A4DB8"/>
    <w:rsid w:val="003A609A"/>
    <w:rsid w:val="003A6303"/>
    <w:rsid w:val="003A67F5"/>
    <w:rsid w:val="003B420D"/>
    <w:rsid w:val="003B686F"/>
    <w:rsid w:val="003C5155"/>
    <w:rsid w:val="003C5D93"/>
    <w:rsid w:val="003C6C16"/>
    <w:rsid w:val="003D1C62"/>
    <w:rsid w:val="003D2A59"/>
    <w:rsid w:val="003D5A1E"/>
    <w:rsid w:val="003D794D"/>
    <w:rsid w:val="003E1622"/>
    <w:rsid w:val="003E3058"/>
    <w:rsid w:val="003E4465"/>
    <w:rsid w:val="003E76A9"/>
    <w:rsid w:val="003F0809"/>
    <w:rsid w:val="003F1276"/>
    <w:rsid w:val="003F1BE4"/>
    <w:rsid w:val="003F6A8C"/>
    <w:rsid w:val="003F755C"/>
    <w:rsid w:val="00400C0F"/>
    <w:rsid w:val="00403184"/>
    <w:rsid w:val="004052DC"/>
    <w:rsid w:val="0040603D"/>
    <w:rsid w:val="00406F01"/>
    <w:rsid w:val="004074C0"/>
    <w:rsid w:val="00413514"/>
    <w:rsid w:val="00416003"/>
    <w:rsid w:val="00416D50"/>
    <w:rsid w:val="00416FD5"/>
    <w:rsid w:val="00417772"/>
    <w:rsid w:val="00420E6A"/>
    <w:rsid w:val="00423F89"/>
    <w:rsid w:val="00424911"/>
    <w:rsid w:val="00425A9E"/>
    <w:rsid w:val="00425FCB"/>
    <w:rsid w:val="00426D6B"/>
    <w:rsid w:val="004270A5"/>
    <w:rsid w:val="00431E6C"/>
    <w:rsid w:val="00433CE7"/>
    <w:rsid w:val="00436846"/>
    <w:rsid w:val="0043775F"/>
    <w:rsid w:val="00444410"/>
    <w:rsid w:val="004451D9"/>
    <w:rsid w:val="00450E86"/>
    <w:rsid w:val="00452738"/>
    <w:rsid w:val="004535EE"/>
    <w:rsid w:val="00455A9A"/>
    <w:rsid w:val="00456091"/>
    <w:rsid w:val="00456E92"/>
    <w:rsid w:val="0045733E"/>
    <w:rsid w:val="00462E12"/>
    <w:rsid w:val="00466321"/>
    <w:rsid w:val="00466695"/>
    <w:rsid w:val="00471FB4"/>
    <w:rsid w:val="0047499A"/>
    <w:rsid w:val="0047565C"/>
    <w:rsid w:val="004769FB"/>
    <w:rsid w:val="00484B9B"/>
    <w:rsid w:val="004854DE"/>
    <w:rsid w:val="004855F6"/>
    <w:rsid w:val="0048661E"/>
    <w:rsid w:val="00491473"/>
    <w:rsid w:val="00494670"/>
    <w:rsid w:val="004969D2"/>
    <w:rsid w:val="004A154E"/>
    <w:rsid w:val="004A1753"/>
    <w:rsid w:val="004A3823"/>
    <w:rsid w:val="004A6272"/>
    <w:rsid w:val="004A730B"/>
    <w:rsid w:val="004B1C29"/>
    <w:rsid w:val="004B2A6C"/>
    <w:rsid w:val="004B3463"/>
    <w:rsid w:val="004B48CF"/>
    <w:rsid w:val="004B5220"/>
    <w:rsid w:val="004B5681"/>
    <w:rsid w:val="004B61D8"/>
    <w:rsid w:val="004C03E4"/>
    <w:rsid w:val="004C3887"/>
    <w:rsid w:val="004D2799"/>
    <w:rsid w:val="004D2F76"/>
    <w:rsid w:val="004E0863"/>
    <w:rsid w:val="004E1953"/>
    <w:rsid w:val="004E3233"/>
    <w:rsid w:val="004E6946"/>
    <w:rsid w:val="004F1AD8"/>
    <w:rsid w:val="004F2C6C"/>
    <w:rsid w:val="004F52B7"/>
    <w:rsid w:val="004F79CC"/>
    <w:rsid w:val="005012E4"/>
    <w:rsid w:val="00501EE6"/>
    <w:rsid w:val="005039CB"/>
    <w:rsid w:val="00503C9C"/>
    <w:rsid w:val="0050558F"/>
    <w:rsid w:val="00506286"/>
    <w:rsid w:val="00506FC2"/>
    <w:rsid w:val="00510813"/>
    <w:rsid w:val="005110AB"/>
    <w:rsid w:val="00511990"/>
    <w:rsid w:val="00511DE0"/>
    <w:rsid w:val="00512FE4"/>
    <w:rsid w:val="00514870"/>
    <w:rsid w:val="00514B9B"/>
    <w:rsid w:val="00516213"/>
    <w:rsid w:val="00517432"/>
    <w:rsid w:val="00517F02"/>
    <w:rsid w:val="00520A9E"/>
    <w:rsid w:val="00524303"/>
    <w:rsid w:val="005258A2"/>
    <w:rsid w:val="0052667C"/>
    <w:rsid w:val="005331B4"/>
    <w:rsid w:val="0053637A"/>
    <w:rsid w:val="005366FA"/>
    <w:rsid w:val="0053752D"/>
    <w:rsid w:val="005401AE"/>
    <w:rsid w:val="00542E07"/>
    <w:rsid w:val="00542F70"/>
    <w:rsid w:val="00545424"/>
    <w:rsid w:val="005457A9"/>
    <w:rsid w:val="00546365"/>
    <w:rsid w:val="00547B2D"/>
    <w:rsid w:val="005521B9"/>
    <w:rsid w:val="0055252D"/>
    <w:rsid w:val="00554A7B"/>
    <w:rsid w:val="0055572C"/>
    <w:rsid w:val="00556002"/>
    <w:rsid w:val="0055697F"/>
    <w:rsid w:val="0056106A"/>
    <w:rsid w:val="00561D77"/>
    <w:rsid w:val="00563B0A"/>
    <w:rsid w:val="00563B94"/>
    <w:rsid w:val="00570F5B"/>
    <w:rsid w:val="005720AE"/>
    <w:rsid w:val="0057666F"/>
    <w:rsid w:val="00576B06"/>
    <w:rsid w:val="00577718"/>
    <w:rsid w:val="0058093C"/>
    <w:rsid w:val="00581926"/>
    <w:rsid w:val="00581AA8"/>
    <w:rsid w:val="00581BF5"/>
    <w:rsid w:val="00582A4A"/>
    <w:rsid w:val="00582BB8"/>
    <w:rsid w:val="00593D45"/>
    <w:rsid w:val="00594D77"/>
    <w:rsid w:val="005969E4"/>
    <w:rsid w:val="00596F13"/>
    <w:rsid w:val="005A06B7"/>
    <w:rsid w:val="005A0BEA"/>
    <w:rsid w:val="005A0CAC"/>
    <w:rsid w:val="005A0E2C"/>
    <w:rsid w:val="005A0FB6"/>
    <w:rsid w:val="005A1759"/>
    <w:rsid w:val="005A26F1"/>
    <w:rsid w:val="005A6211"/>
    <w:rsid w:val="005A6833"/>
    <w:rsid w:val="005A68A7"/>
    <w:rsid w:val="005B282B"/>
    <w:rsid w:val="005B3017"/>
    <w:rsid w:val="005B7639"/>
    <w:rsid w:val="005D1000"/>
    <w:rsid w:val="005D36AB"/>
    <w:rsid w:val="005D3921"/>
    <w:rsid w:val="005D780E"/>
    <w:rsid w:val="005E3766"/>
    <w:rsid w:val="005E3FC5"/>
    <w:rsid w:val="005E43AE"/>
    <w:rsid w:val="005E58E2"/>
    <w:rsid w:val="005E7291"/>
    <w:rsid w:val="005E741B"/>
    <w:rsid w:val="005F0815"/>
    <w:rsid w:val="005F5FD2"/>
    <w:rsid w:val="005F7569"/>
    <w:rsid w:val="006056BE"/>
    <w:rsid w:val="006068AB"/>
    <w:rsid w:val="00606EF5"/>
    <w:rsid w:val="00607AAE"/>
    <w:rsid w:val="0061042C"/>
    <w:rsid w:val="0061215A"/>
    <w:rsid w:val="00617C6D"/>
    <w:rsid w:val="00617CC3"/>
    <w:rsid w:val="00620FE0"/>
    <w:rsid w:val="00621703"/>
    <w:rsid w:val="006221D5"/>
    <w:rsid w:val="0062391A"/>
    <w:rsid w:val="006267B2"/>
    <w:rsid w:val="0063009C"/>
    <w:rsid w:val="006361E4"/>
    <w:rsid w:val="0063653F"/>
    <w:rsid w:val="006377A6"/>
    <w:rsid w:val="00637A3D"/>
    <w:rsid w:val="00640518"/>
    <w:rsid w:val="006411EF"/>
    <w:rsid w:val="006452BA"/>
    <w:rsid w:val="0064661E"/>
    <w:rsid w:val="00647A71"/>
    <w:rsid w:val="00647C1C"/>
    <w:rsid w:val="00652AB1"/>
    <w:rsid w:val="006538FC"/>
    <w:rsid w:val="0065457B"/>
    <w:rsid w:val="00656A31"/>
    <w:rsid w:val="00657F2D"/>
    <w:rsid w:val="006620F7"/>
    <w:rsid w:val="00664C8D"/>
    <w:rsid w:val="00667C03"/>
    <w:rsid w:val="00674558"/>
    <w:rsid w:val="006748B8"/>
    <w:rsid w:val="006775C3"/>
    <w:rsid w:val="006805AB"/>
    <w:rsid w:val="0068168A"/>
    <w:rsid w:val="006839DB"/>
    <w:rsid w:val="006906D0"/>
    <w:rsid w:val="00690888"/>
    <w:rsid w:val="006917E9"/>
    <w:rsid w:val="0069267A"/>
    <w:rsid w:val="0069290A"/>
    <w:rsid w:val="00695BC7"/>
    <w:rsid w:val="006970DB"/>
    <w:rsid w:val="0069775A"/>
    <w:rsid w:val="00697813"/>
    <w:rsid w:val="006A2475"/>
    <w:rsid w:val="006A3EE8"/>
    <w:rsid w:val="006A72BF"/>
    <w:rsid w:val="006B03F2"/>
    <w:rsid w:val="006B2D96"/>
    <w:rsid w:val="006B37DC"/>
    <w:rsid w:val="006B4F68"/>
    <w:rsid w:val="006B5784"/>
    <w:rsid w:val="006C0592"/>
    <w:rsid w:val="006C1CDB"/>
    <w:rsid w:val="006C272E"/>
    <w:rsid w:val="006C382D"/>
    <w:rsid w:val="006C3BFE"/>
    <w:rsid w:val="006C5479"/>
    <w:rsid w:val="006C7982"/>
    <w:rsid w:val="006D13B5"/>
    <w:rsid w:val="006D313C"/>
    <w:rsid w:val="006D66AB"/>
    <w:rsid w:val="006D6B8D"/>
    <w:rsid w:val="006D71CD"/>
    <w:rsid w:val="006E0C18"/>
    <w:rsid w:val="006E0E0A"/>
    <w:rsid w:val="006E12FF"/>
    <w:rsid w:val="006E2C3A"/>
    <w:rsid w:val="006E376B"/>
    <w:rsid w:val="006E607E"/>
    <w:rsid w:val="006F0AB7"/>
    <w:rsid w:val="006F1522"/>
    <w:rsid w:val="006F2FC7"/>
    <w:rsid w:val="006F3FB4"/>
    <w:rsid w:val="007038E7"/>
    <w:rsid w:val="007043A5"/>
    <w:rsid w:val="00706C5D"/>
    <w:rsid w:val="00707306"/>
    <w:rsid w:val="00711CF1"/>
    <w:rsid w:val="007132D8"/>
    <w:rsid w:val="00721609"/>
    <w:rsid w:val="00722D18"/>
    <w:rsid w:val="00723651"/>
    <w:rsid w:val="00730954"/>
    <w:rsid w:val="00732078"/>
    <w:rsid w:val="00732922"/>
    <w:rsid w:val="00732EE9"/>
    <w:rsid w:val="007334F8"/>
    <w:rsid w:val="00733E26"/>
    <w:rsid w:val="00735DD2"/>
    <w:rsid w:val="00735F16"/>
    <w:rsid w:val="00746157"/>
    <w:rsid w:val="007463E7"/>
    <w:rsid w:val="007474C9"/>
    <w:rsid w:val="0075162E"/>
    <w:rsid w:val="00751F89"/>
    <w:rsid w:val="00752748"/>
    <w:rsid w:val="00754034"/>
    <w:rsid w:val="00756556"/>
    <w:rsid w:val="00761269"/>
    <w:rsid w:val="007618C4"/>
    <w:rsid w:val="007625EB"/>
    <w:rsid w:val="00764735"/>
    <w:rsid w:val="00767980"/>
    <w:rsid w:val="00770B19"/>
    <w:rsid w:val="0077463F"/>
    <w:rsid w:val="00774E78"/>
    <w:rsid w:val="00775472"/>
    <w:rsid w:val="00780A2E"/>
    <w:rsid w:val="00781623"/>
    <w:rsid w:val="00782097"/>
    <w:rsid w:val="00782E48"/>
    <w:rsid w:val="00783317"/>
    <w:rsid w:val="007836EA"/>
    <w:rsid w:val="00784CDA"/>
    <w:rsid w:val="0078702B"/>
    <w:rsid w:val="007906C4"/>
    <w:rsid w:val="00790D44"/>
    <w:rsid w:val="0079121B"/>
    <w:rsid w:val="007940EA"/>
    <w:rsid w:val="007958E0"/>
    <w:rsid w:val="007967E8"/>
    <w:rsid w:val="007A2170"/>
    <w:rsid w:val="007A22BF"/>
    <w:rsid w:val="007A3323"/>
    <w:rsid w:val="007A3621"/>
    <w:rsid w:val="007A38D0"/>
    <w:rsid w:val="007A3DF0"/>
    <w:rsid w:val="007A4A27"/>
    <w:rsid w:val="007A6FCB"/>
    <w:rsid w:val="007B0215"/>
    <w:rsid w:val="007B5088"/>
    <w:rsid w:val="007B72B8"/>
    <w:rsid w:val="007B7A58"/>
    <w:rsid w:val="007C21B5"/>
    <w:rsid w:val="007C3637"/>
    <w:rsid w:val="007C3CAD"/>
    <w:rsid w:val="007D38C0"/>
    <w:rsid w:val="007D3B20"/>
    <w:rsid w:val="007D6A53"/>
    <w:rsid w:val="007D70AE"/>
    <w:rsid w:val="007D7B15"/>
    <w:rsid w:val="007D7D42"/>
    <w:rsid w:val="007E2DF7"/>
    <w:rsid w:val="007E2EF7"/>
    <w:rsid w:val="007E4BD2"/>
    <w:rsid w:val="007F2C24"/>
    <w:rsid w:val="007F6CFD"/>
    <w:rsid w:val="007F7C94"/>
    <w:rsid w:val="00801393"/>
    <w:rsid w:val="00802F88"/>
    <w:rsid w:val="00805776"/>
    <w:rsid w:val="00810741"/>
    <w:rsid w:val="00810FA3"/>
    <w:rsid w:val="0081293E"/>
    <w:rsid w:val="00814728"/>
    <w:rsid w:val="00815465"/>
    <w:rsid w:val="008157E8"/>
    <w:rsid w:val="00816543"/>
    <w:rsid w:val="00817E9A"/>
    <w:rsid w:val="0082269A"/>
    <w:rsid w:val="00824073"/>
    <w:rsid w:val="0082433A"/>
    <w:rsid w:val="00827092"/>
    <w:rsid w:val="008306BD"/>
    <w:rsid w:val="00831A80"/>
    <w:rsid w:val="008320A5"/>
    <w:rsid w:val="00833743"/>
    <w:rsid w:val="00833D01"/>
    <w:rsid w:val="008340A4"/>
    <w:rsid w:val="008368D8"/>
    <w:rsid w:val="0083704C"/>
    <w:rsid w:val="00842F0C"/>
    <w:rsid w:val="008516D7"/>
    <w:rsid w:val="00854789"/>
    <w:rsid w:val="008555D9"/>
    <w:rsid w:val="00856EC2"/>
    <w:rsid w:val="00861815"/>
    <w:rsid w:val="00862A24"/>
    <w:rsid w:val="00862AE0"/>
    <w:rsid w:val="008639C9"/>
    <w:rsid w:val="00863DBA"/>
    <w:rsid w:val="0087135F"/>
    <w:rsid w:val="00872D94"/>
    <w:rsid w:val="008743AD"/>
    <w:rsid w:val="0087782F"/>
    <w:rsid w:val="00880364"/>
    <w:rsid w:val="0088345F"/>
    <w:rsid w:val="008839DF"/>
    <w:rsid w:val="00883ACE"/>
    <w:rsid w:val="00885B96"/>
    <w:rsid w:val="00886414"/>
    <w:rsid w:val="00891592"/>
    <w:rsid w:val="00891E9E"/>
    <w:rsid w:val="008A0B93"/>
    <w:rsid w:val="008A166C"/>
    <w:rsid w:val="008A2F68"/>
    <w:rsid w:val="008A4382"/>
    <w:rsid w:val="008A5A00"/>
    <w:rsid w:val="008A7859"/>
    <w:rsid w:val="008A7AC2"/>
    <w:rsid w:val="008B12A7"/>
    <w:rsid w:val="008B3C18"/>
    <w:rsid w:val="008B3C5F"/>
    <w:rsid w:val="008B4FA6"/>
    <w:rsid w:val="008B5282"/>
    <w:rsid w:val="008B7C17"/>
    <w:rsid w:val="008C0086"/>
    <w:rsid w:val="008C2D01"/>
    <w:rsid w:val="008C40E6"/>
    <w:rsid w:val="008D0F7A"/>
    <w:rsid w:val="008D2842"/>
    <w:rsid w:val="008D4A4C"/>
    <w:rsid w:val="008D4BE5"/>
    <w:rsid w:val="008D68E4"/>
    <w:rsid w:val="008D6D7E"/>
    <w:rsid w:val="008E0506"/>
    <w:rsid w:val="008E0CFF"/>
    <w:rsid w:val="008E1763"/>
    <w:rsid w:val="008E2041"/>
    <w:rsid w:val="008E2163"/>
    <w:rsid w:val="008E4427"/>
    <w:rsid w:val="008E5D6B"/>
    <w:rsid w:val="008E6463"/>
    <w:rsid w:val="008E76F0"/>
    <w:rsid w:val="008F15FE"/>
    <w:rsid w:val="008F2D29"/>
    <w:rsid w:val="008F5187"/>
    <w:rsid w:val="008F60D8"/>
    <w:rsid w:val="0090083F"/>
    <w:rsid w:val="00902727"/>
    <w:rsid w:val="0090312B"/>
    <w:rsid w:val="00903D98"/>
    <w:rsid w:val="00906FCB"/>
    <w:rsid w:val="00907DF4"/>
    <w:rsid w:val="0091020C"/>
    <w:rsid w:val="00910726"/>
    <w:rsid w:val="00911286"/>
    <w:rsid w:val="0091231F"/>
    <w:rsid w:val="009123F6"/>
    <w:rsid w:val="00914F58"/>
    <w:rsid w:val="0091736D"/>
    <w:rsid w:val="00920B82"/>
    <w:rsid w:val="0092691E"/>
    <w:rsid w:val="00927813"/>
    <w:rsid w:val="0093037A"/>
    <w:rsid w:val="009304DE"/>
    <w:rsid w:val="00935156"/>
    <w:rsid w:val="009358A8"/>
    <w:rsid w:val="00937166"/>
    <w:rsid w:val="0094154D"/>
    <w:rsid w:val="00942844"/>
    <w:rsid w:val="009440B5"/>
    <w:rsid w:val="0094421F"/>
    <w:rsid w:val="00944375"/>
    <w:rsid w:val="00944549"/>
    <w:rsid w:val="00944C60"/>
    <w:rsid w:val="00944E6A"/>
    <w:rsid w:val="00947E0F"/>
    <w:rsid w:val="00947EB5"/>
    <w:rsid w:val="0095155F"/>
    <w:rsid w:val="00951FEE"/>
    <w:rsid w:val="00954429"/>
    <w:rsid w:val="00954B68"/>
    <w:rsid w:val="009563CE"/>
    <w:rsid w:val="00960AD5"/>
    <w:rsid w:val="0096557D"/>
    <w:rsid w:val="00972E9E"/>
    <w:rsid w:val="00975D92"/>
    <w:rsid w:val="00976328"/>
    <w:rsid w:val="0097680D"/>
    <w:rsid w:val="0098191B"/>
    <w:rsid w:val="00982438"/>
    <w:rsid w:val="0098404C"/>
    <w:rsid w:val="009848A0"/>
    <w:rsid w:val="00985283"/>
    <w:rsid w:val="00987DBE"/>
    <w:rsid w:val="00995992"/>
    <w:rsid w:val="00997D30"/>
    <w:rsid w:val="009A03E5"/>
    <w:rsid w:val="009A0F3B"/>
    <w:rsid w:val="009A1BB4"/>
    <w:rsid w:val="009A2628"/>
    <w:rsid w:val="009A3200"/>
    <w:rsid w:val="009A3E67"/>
    <w:rsid w:val="009A5857"/>
    <w:rsid w:val="009A6ABC"/>
    <w:rsid w:val="009B0897"/>
    <w:rsid w:val="009B3769"/>
    <w:rsid w:val="009B510E"/>
    <w:rsid w:val="009B786D"/>
    <w:rsid w:val="009B7A2F"/>
    <w:rsid w:val="009B7BD9"/>
    <w:rsid w:val="009B7D34"/>
    <w:rsid w:val="009C58BD"/>
    <w:rsid w:val="009C7DD5"/>
    <w:rsid w:val="009D3745"/>
    <w:rsid w:val="009E02CB"/>
    <w:rsid w:val="009E1026"/>
    <w:rsid w:val="009E227D"/>
    <w:rsid w:val="009E2D51"/>
    <w:rsid w:val="009E3907"/>
    <w:rsid w:val="009E5019"/>
    <w:rsid w:val="009E5E63"/>
    <w:rsid w:val="009E6C02"/>
    <w:rsid w:val="009E7831"/>
    <w:rsid w:val="009F1925"/>
    <w:rsid w:val="009F1A6B"/>
    <w:rsid w:val="009F1CAA"/>
    <w:rsid w:val="009F4100"/>
    <w:rsid w:val="009F4853"/>
    <w:rsid w:val="009F4C7B"/>
    <w:rsid w:val="00A0068F"/>
    <w:rsid w:val="00A01B71"/>
    <w:rsid w:val="00A028B0"/>
    <w:rsid w:val="00A04230"/>
    <w:rsid w:val="00A04F1B"/>
    <w:rsid w:val="00A0501B"/>
    <w:rsid w:val="00A0631D"/>
    <w:rsid w:val="00A105AC"/>
    <w:rsid w:val="00A120B5"/>
    <w:rsid w:val="00A141A4"/>
    <w:rsid w:val="00A14947"/>
    <w:rsid w:val="00A156E8"/>
    <w:rsid w:val="00A1748F"/>
    <w:rsid w:val="00A21096"/>
    <w:rsid w:val="00A2178C"/>
    <w:rsid w:val="00A234D3"/>
    <w:rsid w:val="00A275A9"/>
    <w:rsid w:val="00A3295D"/>
    <w:rsid w:val="00A32A83"/>
    <w:rsid w:val="00A345EF"/>
    <w:rsid w:val="00A368DB"/>
    <w:rsid w:val="00A423AA"/>
    <w:rsid w:val="00A447C6"/>
    <w:rsid w:val="00A44FF6"/>
    <w:rsid w:val="00A4558B"/>
    <w:rsid w:val="00A50B6B"/>
    <w:rsid w:val="00A53722"/>
    <w:rsid w:val="00A53EC6"/>
    <w:rsid w:val="00A55248"/>
    <w:rsid w:val="00A55C0F"/>
    <w:rsid w:val="00A62C3E"/>
    <w:rsid w:val="00A6646F"/>
    <w:rsid w:val="00A665ED"/>
    <w:rsid w:val="00A70D79"/>
    <w:rsid w:val="00A711AE"/>
    <w:rsid w:val="00A738B5"/>
    <w:rsid w:val="00A80237"/>
    <w:rsid w:val="00A84160"/>
    <w:rsid w:val="00A8430A"/>
    <w:rsid w:val="00A8713F"/>
    <w:rsid w:val="00A901F8"/>
    <w:rsid w:val="00A90BA1"/>
    <w:rsid w:val="00A926EB"/>
    <w:rsid w:val="00A93987"/>
    <w:rsid w:val="00A93B08"/>
    <w:rsid w:val="00A948A1"/>
    <w:rsid w:val="00A96556"/>
    <w:rsid w:val="00A96D9D"/>
    <w:rsid w:val="00A97A9A"/>
    <w:rsid w:val="00AA03C6"/>
    <w:rsid w:val="00AA0671"/>
    <w:rsid w:val="00AA1BED"/>
    <w:rsid w:val="00AA2531"/>
    <w:rsid w:val="00AA53E6"/>
    <w:rsid w:val="00AB0948"/>
    <w:rsid w:val="00AB0DD8"/>
    <w:rsid w:val="00AB130D"/>
    <w:rsid w:val="00AB19B0"/>
    <w:rsid w:val="00AB1E09"/>
    <w:rsid w:val="00AB2362"/>
    <w:rsid w:val="00AB5330"/>
    <w:rsid w:val="00AB7185"/>
    <w:rsid w:val="00AB7747"/>
    <w:rsid w:val="00AC14CE"/>
    <w:rsid w:val="00AC2A56"/>
    <w:rsid w:val="00AC59FF"/>
    <w:rsid w:val="00AC5B70"/>
    <w:rsid w:val="00AD055E"/>
    <w:rsid w:val="00AD47A7"/>
    <w:rsid w:val="00AD4CA6"/>
    <w:rsid w:val="00AD61B8"/>
    <w:rsid w:val="00AD726D"/>
    <w:rsid w:val="00AE094C"/>
    <w:rsid w:val="00AE1368"/>
    <w:rsid w:val="00AE148D"/>
    <w:rsid w:val="00AE1C65"/>
    <w:rsid w:val="00AE43C7"/>
    <w:rsid w:val="00AE4B43"/>
    <w:rsid w:val="00AF0CBF"/>
    <w:rsid w:val="00AF257F"/>
    <w:rsid w:val="00AF33CF"/>
    <w:rsid w:val="00AF4D50"/>
    <w:rsid w:val="00AF60BB"/>
    <w:rsid w:val="00AF6179"/>
    <w:rsid w:val="00AF7338"/>
    <w:rsid w:val="00B0564D"/>
    <w:rsid w:val="00B10096"/>
    <w:rsid w:val="00B105F8"/>
    <w:rsid w:val="00B1295A"/>
    <w:rsid w:val="00B12C7E"/>
    <w:rsid w:val="00B13B3A"/>
    <w:rsid w:val="00B14AD4"/>
    <w:rsid w:val="00B14B2F"/>
    <w:rsid w:val="00B1645B"/>
    <w:rsid w:val="00B174A3"/>
    <w:rsid w:val="00B20A45"/>
    <w:rsid w:val="00B227C8"/>
    <w:rsid w:val="00B22C5C"/>
    <w:rsid w:val="00B2494E"/>
    <w:rsid w:val="00B24F30"/>
    <w:rsid w:val="00B3191E"/>
    <w:rsid w:val="00B31ABF"/>
    <w:rsid w:val="00B3315D"/>
    <w:rsid w:val="00B33BE3"/>
    <w:rsid w:val="00B3454D"/>
    <w:rsid w:val="00B3574B"/>
    <w:rsid w:val="00B443C5"/>
    <w:rsid w:val="00B4561C"/>
    <w:rsid w:val="00B51860"/>
    <w:rsid w:val="00B5243E"/>
    <w:rsid w:val="00B5329D"/>
    <w:rsid w:val="00B53655"/>
    <w:rsid w:val="00B539BF"/>
    <w:rsid w:val="00B53B5D"/>
    <w:rsid w:val="00B54BCF"/>
    <w:rsid w:val="00B6055E"/>
    <w:rsid w:val="00B6317D"/>
    <w:rsid w:val="00B64F55"/>
    <w:rsid w:val="00B71D61"/>
    <w:rsid w:val="00B7723F"/>
    <w:rsid w:val="00B77B3B"/>
    <w:rsid w:val="00B80534"/>
    <w:rsid w:val="00B806BC"/>
    <w:rsid w:val="00B816F0"/>
    <w:rsid w:val="00B8433C"/>
    <w:rsid w:val="00B86252"/>
    <w:rsid w:val="00B866B9"/>
    <w:rsid w:val="00B87491"/>
    <w:rsid w:val="00B94AEC"/>
    <w:rsid w:val="00B94D07"/>
    <w:rsid w:val="00B94EE5"/>
    <w:rsid w:val="00B96CD3"/>
    <w:rsid w:val="00B97389"/>
    <w:rsid w:val="00BA017E"/>
    <w:rsid w:val="00BA0B09"/>
    <w:rsid w:val="00BA29E9"/>
    <w:rsid w:val="00BA38D6"/>
    <w:rsid w:val="00BA61EB"/>
    <w:rsid w:val="00BA6A84"/>
    <w:rsid w:val="00BA7142"/>
    <w:rsid w:val="00BA7516"/>
    <w:rsid w:val="00BA7D86"/>
    <w:rsid w:val="00BB1837"/>
    <w:rsid w:val="00BB237C"/>
    <w:rsid w:val="00BB41A3"/>
    <w:rsid w:val="00BC02F3"/>
    <w:rsid w:val="00BC0F21"/>
    <w:rsid w:val="00BC1508"/>
    <w:rsid w:val="00BC235F"/>
    <w:rsid w:val="00BC2B76"/>
    <w:rsid w:val="00BC32DC"/>
    <w:rsid w:val="00BC35B6"/>
    <w:rsid w:val="00BC3A1F"/>
    <w:rsid w:val="00BC3B7F"/>
    <w:rsid w:val="00BC72E2"/>
    <w:rsid w:val="00BD1B51"/>
    <w:rsid w:val="00BD20E5"/>
    <w:rsid w:val="00BD2FEC"/>
    <w:rsid w:val="00BD3957"/>
    <w:rsid w:val="00BD4596"/>
    <w:rsid w:val="00BD61EF"/>
    <w:rsid w:val="00BE1405"/>
    <w:rsid w:val="00BE16A7"/>
    <w:rsid w:val="00BE312D"/>
    <w:rsid w:val="00BE32F3"/>
    <w:rsid w:val="00BE4D9B"/>
    <w:rsid w:val="00BE7863"/>
    <w:rsid w:val="00BE7993"/>
    <w:rsid w:val="00BE7ED8"/>
    <w:rsid w:val="00BF1C20"/>
    <w:rsid w:val="00BF3267"/>
    <w:rsid w:val="00C03729"/>
    <w:rsid w:val="00C05F45"/>
    <w:rsid w:val="00C06772"/>
    <w:rsid w:val="00C1051C"/>
    <w:rsid w:val="00C10578"/>
    <w:rsid w:val="00C10A7D"/>
    <w:rsid w:val="00C12CA4"/>
    <w:rsid w:val="00C135BC"/>
    <w:rsid w:val="00C14E2F"/>
    <w:rsid w:val="00C15C95"/>
    <w:rsid w:val="00C168A8"/>
    <w:rsid w:val="00C172FC"/>
    <w:rsid w:val="00C2295D"/>
    <w:rsid w:val="00C22C8E"/>
    <w:rsid w:val="00C24DA2"/>
    <w:rsid w:val="00C2596A"/>
    <w:rsid w:val="00C27537"/>
    <w:rsid w:val="00C30909"/>
    <w:rsid w:val="00C3147A"/>
    <w:rsid w:val="00C328FE"/>
    <w:rsid w:val="00C333D6"/>
    <w:rsid w:val="00C33507"/>
    <w:rsid w:val="00C352CF"/>
    <w:rsid w:val="00C36A20"/>
    <w:rsid w:val="00C379C2"/>
    <w:rsid w:val="00C40CDB"/>
    <w:rsid w:val="00C41235"/>
    <w:rsid w:val="00C4378E"/>
    <w:rsid w:val="00C4409D"/>
    <w:rsid w:val="00C449A1"/>
    <w:rsid w:val="00C44E28"/>
    <w:rsid w:val="00C44E72"/>
    <w:rsid w:val="00C45A06"/>
    <w:rsid w:val="00C45A56"/>
    <w:rsid w:val="00C46323"/>
    <w:rsid w:val="00C477AC"/>
    <w:rsid w:val="00C479D9"/>
    <w:rsid w:val="00C47E5B"/>
    <w:rsid w:val="00C50537"/>
    <w:rsid w:val="00C52209"/>
    <w:rsid w:val="00C52B8B"/>
    <w:rsid w:val="00C52EB7"/>
    <w:rsid w:val="00C5371A"/>
    <w:rsid w:val="00C547A6"/>
    <w:rsid w:val="00C57DDA"/>
    <w:rsid w:val="00C61E4B"/>
    <w:rsid w:val="00C61F6B"/>
    <w:rsid w:val="00C61FD0"/>
    <w:rsid w:val="00C62A31"/>
    <w:rsid w:val="00C62BB2"/>
    <w:rsid w:val="00C6312C"/>
    <w:rsid w:val="00C6399B"/>
    <w:rsid w:val="00C64BFF"/>
    <w:rsid w:val="00C704E9"/>
    <w:rsid w:val="00C75D0D"/>
    <w:rsid w:val="00C763C9"/>
    <w:rsid w:val="00C80057"/>
    <w:rsid w:val="00C82232"/>
    <w:rsid w:val="00C82913"/>
    <w:rsid w:val="00C842C3"/>
    <w:rsid w:val="00C859F9"/>
    <w:rsid w:val="00C85B77"/>
    <w:rsid w:val="00C85C26"/>
    <w:rsid w:val="00C85F20"/>
    <w:rsid w:val="00C86EE4"/>
    <w:rsid w:val="00C9014D"/>
    <w:rsid w:val="00C93452"/>
    <w:rsid w:val="00C942C0"/>
    <w:rsid w:val="00C96049"/>
    <w:rsid w:val="00C96D65"/>
    <w:rsid w:val="00C972B1"/>
    <w:rsid w:val="00CA09AD"/>
    <w:rsid w:val="00CA2CCE"/>
    <w:rsid w:val="00CA3A95"/>
    <w:rsid w:val="00CA43FD"/>
    <w:rsid w:val="00CA6902"/>
    <w:rsid w:val="00CA7EF8"/>
    <w:rsid w:val="00CB18FA"/>
    <w:rsid w:val="00CB43FD"/>
    <w:rsid w:val="00CB7CF1"/>
    <w:rsid w:val="00CC2B8B"/>
    <w:rsid w:val="00CC489B"/>
    <w:rsid w:val="00CC7698"/>
    <w:rsid w:val="00CD2469"/>
    <w:rsid w:val="00CD2936"/>
    <w:rsid w:val="00CD2BCD"/>
    <w:rsid w:val="00CD3A4C"/>
    <w:rsid w:val="00CD4802"/>
    <w:rsid w:val="00CD4D46"/>
    <w:rsid w:val="00CD5AFB"/>
    <w:rsid w:val="00CD6CBA"/>
    <w:rsid w:val="00CD6E05"/>
    <w:rsid w:val="00CE013E"/>
    <w:rsid w:val="00CE0CC8"/>
    <w:rsid w:val="00CE10E9"/>
    <w:rsid w:val="00CE2910"/>
    <w:rsid w:val="00CE5393"/>
    <w:rsid w:val="00CF36BE"/>
    <w:rsid w:val="00CF6000"/>
    <w:rsid w:val="00CF69FE"/>
    <w:rsid w:val="00CF74DC"/>
    <w:rsid w:val="00D003F3"/>
    <w:rsid w:val="00D01586"/>
    <w:rsid w:val="00D0364F"/>
    <w:rsid w:val="00D06834"/>
    <w:rsid w:val="00D11044"/>
    <w:rsid w:val="00D14A22"/>
    <w:rsid w:val="00D20C0A"/>
    <w:rsid w:val="00D21519"/>
    <w:rsid w:val="00D218FA"/>
    <w:rsid w:val="00D22502"/>
    <w:rsid w:val="00D26058"/>
    <w:rsid w:val="00D308ED"/>
    <w:rsid w:val="00D31303"/>
    <w:rsid w:val="00D32385"/>
    <w:rsid w:val="00D336E1"/>
    <w:rsid w:val="00D341D0"/>
    <w:rsid w:val="00D351F0"/>
    <w:rsid w:val="00D35CA0"/>
    <w:rsid w:val="00D36C52"/>
    <w:rsid w:val="00D36D86"/>
    <w:rsid w:val="00D41412"/>
    <w:rsid w:val="00D428AA"/>
    <w:rsid w:val="00D466B4"/>
    <w:rsid w:val="00D50A34"/>
    <w:rsid w:val="00D53593"/>
    <w:rsid w:val="00D53EFA"/>
    <w:rsid w:val="00D545EC"/>
    <w:rsid w:val="00D56E66"/>
    <w:rsid w:val="00D60C94"/>
    <w:rsid w:val="00D62793"/>
    <w:rsid w:val="00D62D05"/>
    <w:rsid w:val="00D64AE1"/>
    <w:rsid w:val="00D66D33"/>
    <w:rsid w:val="00D732EC"/>
    <w:rsid w:val="00D74AED"/>
    <w:rsid w:val="00D77BE1"/>
    <w:rsid w:val="00D80135"/>
    <w:rsid w:val="00D807A2"/>
    <w:rsid w:val="00D81355"/>
    <w:rsid w:val="00D8240D"/>
    <w:rsid w:val="00D84E9A"/>
    <w:rsid w:val="00D84EEE"/>
    <w:rsid w:val="00D86A63"/>
    <w:rsid w:val="00D918D3"/>
    <w:rsid w:val="00D94A7C"/>
    <w:rsid w:val="00D95896"/>
    <w:rsid w:val="00D9684B"/>
    <w:rsid w:val="00DA188D"/>
    <w:rsid w:val="00DA66A3"/>
    <w:rsid w:val="00DB0DE5"/>
    <w:rsid w:val="00DB162D"/>
    <w:rsid w:val="00DB2983"/>
    <w:rsid w:val="00DB7CF3"/>
    <w:rsid w:val="00DC117A"/>
    <w:rsid w:val="00DC1257"/>
    <w:rsid w:val="00DC3C12"/>
    <w:rsid w:val="00DC3DC0"/>
    <w:rsid w:val="00DC500A"/>
    <w:rsid w:val="00DC59C5"/>
    <w:rsid w:val="00DC5B2B"/>
    <w:rsid w:val="00DC6142"/>
    <w:rsid w:val="00DC76AF"/>
    <w:rsid w:val="00DD1543"/>
    <w:rsid w:val="00DD16D5"/>
    <w:rsid w:val="00DD318D"/>
    <w:rsid w:val="00DD5714"/>
    <w:rsid w:val="00DD655F"/>
    <w:rsid w:val="00DE3CDE"/>
    <w:rsid w:val="00DE69AB"/>
    <w:rsid w:val="00DF2E12"/>
    <w:rsid w:val="00DF451A"/>
    <w:rsid w:val="00DF514A"/>
    <w:rsid w:val="00DF5197"/>
    <w:rsid w:val="00DF6690"/>
    <w:rsid w:val="00DF6804"/>
    <w:rsid w:val="00E00093"/>
    <w:rsid w:val="00E0225E"/>
    <w:rsid w:val="00E0358D"/>
    <w:rsid w:val="00E035DD"/>
    <w:rsid w:val="00E042CD"/>
    <w:rsid w:val="00E04323"/>
    <w:rsid w:val="00E05A9E"/>
    <w:rsid w:val="00E06292"/>
    <w:rsid w:val="00E065C2"/>
    <w:rsid w:val="00E070A2"/>
    <w:rsid w:val="00E112C1"/>
    <w:rsid w:val="00E17DF8"/>
    <w:rsid w:val="00E21045"/>
    <w:rsid w:val="00E21E6B"/>
    <w:rsid w:val="00E24EEF"/>
    <w:rsid w:val="00E2656A"/>
    <w:rsid w:val="00E31A01"/>
    <w:rsid w:val="00E35277"/>
    <w:rsid w:val="00E412D0"/>
    <w:rsid w:val="00E41734"/>
    <w:rsid w:val="00E43889"/>
    <w:rsid w:val="00E4556C"/>
    <w:rsid w:val="00E53144"/>
    <w:rsid w:val="00E55193"/>
    <w:rsid w:val="00E56322"/>
    <w:rsid w:val="00E564C1"/>
    <w:rsid w:val="00E60982"/>
    <w:rsid w:val="00E61F60"/>
    <w:rsid w:val="00E62C62"/>
    <w:rsid w:val="00E634D8"/>
    <w:rsid w:val="00E651D5"/>
    <w:rsid w:val="00E654C1"/>
    <w:rsid w:val="00E65AE2"/>
    <w:rsid w:val="00E65D97"/>
    <w:rsid w:val="00E67C7F"/>
    <w:rsid w:val="00E72A5A"/>
    <w:rsid w:val="00E73354"/>
    <w:rsid w:val="00E73BFD"/>
    <w:rsid w:val="00E7748B"/>
    <w:rsid w:val="00E80F90"/>
    <w:rsid w:val="00E81E0D"/>
    <w:rsid w:val="00E867E7"/>
    <w:rsid w:val="00E87E06"/>
    <w:rsid w:val="00E91BD6"/>
    <w:rsid w:val="00E9242D"/>
    <w:rsid w:val="00E94887"/>
    <w:rsid w:val="00EA03C1"/>
    <w:rsid w:val="00EA2649"/>
    <w:rsid w:val="00EA4ABE"/>
    <w:rsid w:val="00EA564E"/>
    <w:rsid w:val="00EB18EE"/>
    <w:rsid w:val="00EB2BE8"/>
    <w:rsid w:val="00EB4AAC"/>
    <w:rsid w:val="00EB4BFE"/>
    <w:rsid w:val="00EB5255"/>
    <w:rsid w:val="00EB5C47"/>
    <w:rsid w:val="00EB6EED"/>
    <w:rsid w:val="00EC42E1"/>
    <w:rsid w:val="00EC634A"/>
    <w:rsid w:val="00EC7817"/>
    <w:rsid w:val="00ED0639"/>
    <w:rsid w:val="00ED10AF"/>
    <w:rsid w:val="00ED4C0D"/>
    <w:rsid w:val="00ED5153"/>
    <w:rsid w:val="00ED57F6"/>
    <w:rsid w:val="00ED5986"/>
    <w:rsid w:val="00ED7AE9"/>
    <w:rsid w:val="00EE0964"/>
    <w:rsid w:val="00EE12C6"/>
    <w:rsid w:val="00EE63B3"/>
    <w:rsid w:val="00EE712E"/>
    <w:rsid w:val="00EF340C"/>
    <w:rsid w:val="00EF3F7B"/>
    <w:rsid w:val="00EF4755"/>
    <w:rsid w:val="00EF4824"/>
    <w:rsid w:val="00EF6EC9"/>
    <w:rsid w:val="00EF7135"/>
    <w:rsid w:val="00EF724D"/>
    <w:rsid w:val="00EF73FA"/>
    <w:rsid w:val="00F024D8"/>
    <w:rsid w:val="00F027DB"/>
    <w:rsid w:val="00F02D18"/>
    <w:rsid w:val="00F05F41"/>
    <w:rsid w:val="00F06A74"/>
    <w:rsid w:val="00F10618"/>
    <w:rsid w:val="00F132FA"/>
    <w:rsid w:val="00F14A7A"/>
    <w:rsid w:val="00F20FD5"/>
    <w:rsid w:val="00F22985"/>
    <w:rsid w:val="00F22F9D"/>
    <w:rsid w:val="00F232A5"/>
    <w:rsid w:val="00F24310"/>
    <w:rsid w:val="00F32B2F"/>
    <w:rsid w:val="00F3300E"/>
    <w:rsid w:val="00F3383E"/>
    <w:rsid w:val="00F34025"/>
    <w:rsid w:val="00F348D7"/>
    <w:rsid w:val="00F36348"/>
    <w:rsid w:val="00F422C6"/>
    <w:rsid w:val="00F42FF1"/>
    <w:rsid w:val="00F459A8"/>
    <w:rsid w:val="00F4638F"/>
    <w:rsid w:val="00F46481"/>
    <w:rsid w:val="00F465A7"/>
    <w:rsid w:val="00F46B7D"/>
    <w:rsid w:val="00F50B7C"/>
    <w:rsid w:val="00F51E3F"/>
    <w:rsid w:val="00F54282"/>
    <w:rsid w:val="00F550E6"/>
    <w:rsid w:val="00F56D0A"/>
    <w:rsid w:val="00F6065C"/>
    <w:rsid w:val="00F61BBF"/>
    <w:rsid w:val="00F62D9F"/>
    <w:rsid w:val="00F65237"/>
    <w:rsid w:val="00F6639B"/>
    <w:rsid w:val="00F705B3"/>
    <w:rsid w:val="00F70E45"/>
    <w:rsid w:val="00F718B7"/>
    <w:rsid w:val="00F74345"/>
    <w:rsid w:val="00F747CC"/>
    <w:rsid w:val="00F769EA"/>
    <w:rsid w:val="00F80A0A"/>
    <w:rsid w:val="00F81A57"/>
    <w:rsid w:val="00F82B19"/>
    <w:rsid w:val="00F85205"/>
    <w:rsid w:val="00F9212D"/>
    <w:rsid w:val="00F9257D"/>
    <w:rsid w:val="00F93873"/>
    <w:rsid w:val="00F95251"/>
    <w:rsid w:val="00F965DA"/>
    <w:rsid w:val="00FA0665"/>
    <w:rsid w:val="00FA1155"/>
    <w:rsid w:val="00FA217C"/>
    <w:rsid w:val="00FA406A"/>
    <w:rsid w:val="00FB14DF"/>
    <w:rsid w:val="00FB4547"/>
    <w:rsid w:val="00FB45B8"/>
    <w:rsid w:val="00FB4DC0"/>
    <w:rsid w:val="00FB503A"/>
    <w:rsid w:val="00FB516C"/>
    <w:rsid w:val="00FB7071"/>
    <w:rsid w:val="00FB780E"/>
    <w:rsid w:val="00FB78D2"/>
    <w:rsid w:val="00FC0C3B"/>
    <w:rsid w:val="00FC20AA"/>
    <w:rsid w:val="00FC2E81"/>
    <w:rsid w:val="00FC37FD"/>
    <w:rsid w:val="00FC4BF3"/>
    <w:rsid w:val="00FC6433"/>
    <w:rsid w:val="00FD0236"/>
    <w:rsid w:val="00FD18F4"/>
    <w:rsid w:val="00FD3E7E"/>
    <w:rsid w:val="00FD54DB"/>
    <w:rsid w:val="00FD619F"/>
    <w:rsid w:val="00FE188A"/>
    <w:rsid w:val="00FE23EB"/>
    <w:rsid w:val="00FE5DB5"/>
    <w:rsid w:val="00FE5DE6"/>
    <w:rsid w:val="00FF0EF8"/>
    <w:rsid w:val="00FF16A3"/>
    <w:rsid w:val="00FF3D95"/>
    <w:rsid w:val="00FF4C18"/>
    <w:rsid w:val="00FF587A"/>
    <w:rsid w:val="00FF705A"/>
    <w:rsid w:val="01042CD0"/>
    <w:rsid w:val="01100935"/>
    <w:rsid w:val="011473B7"/>
    <w:rsid w:val="011F3730"/>
    <w:rsid w:val="01207B0A"/>
    <w:rsid w:val="01227D26"/>
    <w:rsid w:val="01233A9E"/>
    <w:rsid w:val="012670EA"/>
    <w:rsid w:val="01275761"/>
    <w:rsid w:val="01290F7E"/>
    <w:rsid w:val="01353A2C"/>
    <w:rsid w:val="0147778C"/>
    <w:rsid w:val="01565C22"/>
    <w:rsid w:val="015A3746"/>
    <w:rsid w:val="015D1E09"/>
    <w:rsid w:val="0160084E"/>
    <w:rsid w:val="0167398B"/>
    <w:rsid w:val="0167794B"/>
    <w:rsid w:val="016A1AC8"/>
    <w:rsid w:val="017125C8"/>
    <w:rsid w:val="017240DE"/>
    <w:rsid w:val="017442FA"/>
    <w:rsid w:val="0179290A"/>
    <w:rsid w:val="017B7436"/>
    <w:rsid w:val="017E2A82"/>
    <w:rsid w:val="018A1427"/>
    <w:rsid w:val="01916C5A"/>
    <w:rsid w:val="01937498"/>
    <w:rsid w:val="019625A8"/>
    <w:rsid w:val="01A15BDC"/>
    <w:rsid w:val="01A22AED"/>
    <w:rsid w:val="01A3073B"/>
    <w:rsid w:val="01A455D3"/>
    <w:rsid w:val="01CA216C"/>
    <w:rsid w:val="01CC11C3"/>
    <w:rsid w:val="01CC1BA5"/>
    <w:rsid w:val="01CF4461"/>
    <w:rsid w:val="01E925F2"/>
    <w:rsid w:val="01EE7C08"/>
    <w:rsid w:val="01F66ABD"/>
    <w:rsid w:val="01F82835"/>
    <w:rsid w:val="020403A9"/>
    <w:rsid w:val="02042CE1"/>
    <w:rsid w:val="02052A74"/>
    <w:rsid w:val="020E02AA"/>
    <w:rsid w:val="02124F33"/>
    <w:rsid w:val="02151639"/>
    <w:rsid w:val="02181129"/>
    <w:rsid w:val="02184C85"/>
    <w:rsid w:val="021F4265"/>
    <w:rsid w:val="022278B2"/>
    <w:rsid w:val="02263E5F"/>
    <w:rsid w:val="022A6766"/>
    <w:rsid w:val="022C24DE"/>
    <w:rsid w:val="022E44A8"/>
    <w:rsid w:val="022E6257"/>
    <w:rsid w:val="02317AF5"/>
    <w:rsid w:val="02325423"/>
    <w:rsid w:val="02342499"/>
    <w:rsid w:val="02353E2A"/>
    <w:rsid w:val="02385327"/>
    <w:rsid w:val="02433DE2"/>
    <w:rsid w:val="024B215D"/>
    <w:rsid w:val="024C2B81"/>
    <w:rsid w:val="024C35ED"/>
    <w:rsid w:val="024C76A6"/>
    <w:rsid w:val="02532161"/>
    <w:rsid w:val="025609B1"/>
    <w:rsid w:val="025A5133"/>
    <w:rsid w:val="025A529E"/>
    <w:rsid w:val="02650658"/>
    <w:rsid w:val="026631F1"/>
    <w:rsid w:val="02691984"/>
    <w:rsid w:val="02697903"/>
    <w:rsid w:val="02750329"/>
    <w:rsid w:val="02816CCE"/>
    <w:rsid w:val="028B3AB2"/>
    <w:rsid w:val="029E0A52"/>
    <w:rsid w:val="02A35163"/>
    <w:rsid w:val="02A62291"/>
    <w:rsid w:val="02A640AD"/>
    <w:rsid w:val="02AE1145"/>
    <w:rsid w:val="02B74C54"/>
    <w:rsid w:val="02B80C18"/>
    <w:rsid w:val="02C72207"/>
    <w:rsid w:val="02CC42EB"/>
    <w:rsid w:val="02D037B2"/>
    <w:rsid w:val="02D36DFE"/>
    <w:rsid w:val="02DE5ECF"/>
    <w:rsid w:val="02DF39F5"/>
    <w:rsid w:val="02E1776D"/>
    <w:rsid w:val="02E64D83"/>
    <w:rsid w:val="02F46132"/>
    <w:rsid w:val="02F96569"/>
    <w:rsid w:val="03004A88"/>
    <w:rsid w:val="0301396B"/>
    <w:rsid w:val="030671D3"/>
    <w:rsid w:val="03092820"/>
    <w:rsid w:val="030D40BE"/>
    <w:rsid w:val="030F6088"/>
    <w:rsid w:val="032C17D4"/>
    <w:rsid w:val="033135F2"/>
    <w:rsid w:val="033329F4"/>
    <w:rsid w:val="034122DA"/>
    <w:rsid w:val="03462090"/>
    <w:rsid w:val="034B1BBD"/>
    <w:rsid w:val="035508BA"/>
    <w:rsid w:val="03571FF7"/>
    <w:rsid w:val="0357594B"/>
    <w:rsid w:val="035A307B"/>
    <w:rsid w:val="03653EFA"/>
    <w:rsid w:val="036E261F"/>
    <w:rsid w:val="036F2FCB"/>
    <w:rsid w:val="03766107"/>
    <w:rsid w:val="037759DB"/>
    <w:rsid w:val="037C1244"/>
    <w:rsid w:val="037C7496"/>
    <w:rsid w:val="03824AAC"/>
    <w:rsid w:val="0385459C"/>
    <w:rsid w:val="03960557"/>
    <w:rsid w:val="03A12311"/>
    <w:rsid w:val="03AA7B5F"/>
    <w:rsid w:val="03AF33C7"/>
    <w:rsid w:val="03B26844"/>
    <w:rsid w:val="03B629A7"/>
    <w:rsid w:val="03BD58AF"/>
    <w:rsid w:val="03D177E1"/>
    <w:rsid w:val="03D746CC"/>
    <w:rsid w:val="03DA0CC6"/>
    <w:rsid w:val="03DE35BD"/>
    <w:rsid w:val="03E272F9"/>
    <w:rsid w:val="03E70DB3"/>
    <w:rsid w:val="03EA7B21"/>
    <w:rsid w:val="03F36308"/>
    <w:rsid w:val="04114082"/>
    <w:rsid w:val="04142E23"/>
    <w:rsid w:val="041476CE"/>
    <w:rsid w:val="041616A2"/>
    <w:rsid w:val="04245B63"/>
    <w:rsid w:val="042C7DEF"/>
    <w:rsid w:val="04363D1D"/>
    <w:rsid w:val="04390EE3"/>
    <w:rsid w:val="043A5387"/>
    <w:rsid w:val="043B2EAD"/>
    <w:rsid w:val="04410000"/>
    <w:rsid w:val="0441297A"/>
    <w:rsid w:val="04426D8D"/>
    <w:rsid w:val="04455AD9"/>
    <w:rsid w:val="04461F7D"/>
    <w:rsid w:val="044B45F3"/>
    <w:rsid w:val="044C6E68"/>
    <w:rsid w:val="045521C0"/>
    <w:rsid w:val="04583A5F"/>
    <w:rsid w:val="045B52FD"/>
    <w:rsid w:val="046248DD"/>
    <w:rsid w:val="046425C9"/>
    <w:rsid w:val="046441B2"/>
    <w:rsid w:val="046C3066"/>
    <w:rsid w:val="047848CB"/>
    <w:rsid w:val="047D34C5"/>
    <w:rsid w:val="047E7B5C"/>
    <w:rsid w:val="047F2D99"/>
    <w:rsid w:val="04893C18"/>
    <w:rsid w:val="048B7990"/>
    <w:rsid w:val="0490144A"/>
    <w:rsid w:val="04934A97"/>
    <w:rsid w:val="049A4077"/>
    <w:rsid w:val="04A66578"/>
    <w:rsid w:val="04A74A06"/>
    <w:rsid w:val="04A9250C"/>
    <w:rsid w:val="04AE1E60"/>
    <w:rsid w:val="04BC431B"/>
    <w:rsid w:val="04BD1B14"/>
    <w:rsid w:val="04C9495C"/>
    <w:rsid w:val="04CB2483"/>
    <w:rsid w:val="04D01847"/>
    <w:rsid w:val="04D23811"/>
    <w:rsid w:val="04D85341"/>
    <w:rsid w:val="04DA0918"/>
    <w:rsid w:val="04DF5F2E"/>
    <w:rsid w:val="04E03757"/>
    <w:rsid w:val="04E23328"/>
    <w:rsid w:val="04E6106A"/>
    <w:rsid w:val="04E84DE3"/>
    <w:rsid w:val="04F07081"/>
    <w:rsid w:val="04FA498F"/>
    <w:rsid w:val="050339CA"/>
    <w:rsid w:val="05047743"/>
    <w:rsid w:val="050A034B"/>
    <w:rsid w:val="05145BD8"/>
    <w:rsid w:val="052676B9"/>
    <w:rsid w:val="053242B0"/>
    <w:rsid w:val="053718C6"/>
    <w:rsid w:val="05432019"/>
    <w:rsid w:val="05597A8E"/>
    <w:rsid w:val="055A4ED6"/>
    <w:rsid w:val="055B3806"/>
    <w:rsid w:val="05634469"/>
    <w:rsid w:val="05642FBC"/>
    <w:rsid w:val="05654685"/>
    <w:rsid w:val="056A1C9B"/>
    <w:rsid w:val="056C5A14"/>
    <w:rsid w:val="05790131"/>
    <w:rsid w:val="058F34B0"/>
    <w:rsid w:val="059E36F3"/>
    <w:rsid w:val="05B3687C"/>
    <w:rsid w:val="05B80C59"/>
    <w:rsid w:val="05B819DC"/>
    <w:rsid w:val="05B969A9"/>
    <w:rsid w:val="05BD43BE"/>
    <w:rsid w:val="05CC0260"/>
    <w:rsid w:val="05CF1AFF"/>
    <w:rsid w:val="05D77224"/>
    <w:rsid w:val="05E732EC"/>
    <w:rsid w:val="05E97FDE"/>
    <w:rsid w:val="05F83EAE"/>
    <w:rsid w:val="05FB0B46"/>
    <w:rsid w:val="06035C4C"/>
    <w:rsid w:val="06154326"/>
    <w:rsid w:val="061A25BA"/>
    <w:rsid w:val="061B4D44"/>
    <w:rsid w:val="061D4AE9"/>
    <w:rsid w:val="06222D63"/>
    <w:rsid w:val="06231E4A"/>
    <w:rsid w:val="062C299F"/>
    <w:rsid w:val="063672F8"/>
    <w:rsid w:val="063E7D85"/>
    <w:rsid w:val="0641666B"/>
    <w:rsid w:val="06420522"/>
    <w:rsid w:val="0644429B"/>
    <w:rsid w:val="064C75F3"/>
    <w:rsid w:val="06562220"/>
    <w:rsid w:val="065953E2"/>
    <w:rsid w:val="066761DB"/>
    <w:rsid w:val="066A7A79"/>
    <w:rsid w:val="066E30C6"/>
    <w:rsid w:val="066F6E3E"/>
    <w:rsid w:val="06725010"/>
    <w:rsid w:val="068154EF"/>
    <w:rsid w:val="068428E9"/>
    <w:rsid w:val="0689271A"/>
    <w:rsid w:val="0696261C"/>
    <w:rsid w:val="06975B48"/>
    <w:rsid w:val="069C40D7"/>
    <w:rsid w:val="069F3BC7"/>
    <w:rsid w:val="06A74829"/>
    <w:rsid w:val="06A92350"/>
    <w:rsid w:val="06B81E01"/>
    <w:rsid w:val="06B86A37"/>
    <w:rsid w:val="06BF1B8B"/>
    <w:rsid w:val="06D118A6"/>
    <w:rsid w:val="06D53145"/>
    <w:rsid w:val="06DD024B"/>
    <w:rsid w:val="06E4782C"/>
    <w:rsid w:val="06E8731C"/>
    <w:rsid w:val="06EB0BBA"/>
    <w:rsid w:val="06ED6AA2"/>
    <w:rsid w:val="06EE2458"/>
    <w:rsid w:val="06F061D0"/>
    <w:rsid w:val="0701407A"/>
    <w:rsid w:val="07041C7C"/>
    <w:rsid w:val="070457D8"/>
    <w:rsid w:val="0708176C"/>
    <w:rsid w:val="072440CC"/>
    <w:rsid w:val="07293586"/>
    <w:rsid w:val="07295285"/>
    <w:rsid w:val="072D4D2F"/>
    <w:rsid w:val="0730481F"/>
    <w:rsid w:val="0733430F"/>
    <w:rsid w:val="07416A2C"/>
    <w:rsid w:val="0744651C"/>
    <w:rsid w:val="07462294"/>
    <w:rsid w:val="074B2440"/>
    <w:rsid w:val="07500A1D"/>
    <w:rsid w:val="07513835"/>
    <w:rsid w:val="07560A5E"/>
    <w:rsid w:val="07636392"/>
    <w:rsid w:val="07650F54"/>
    <w:rsid w:val="076F695E"/>
    <w:rsid w:val="07770C56"/>
    <w:rsid w:val="0778608B"/>
    <w:rsid w:val="077E558A"/>
    <w:rsid w:val="07822663"/>
    <w:rsid w:val="07824A5A"/>
    <w:rsid w:val="078801B7"/>
    <w:rsid w:val="078B1052"/>
    <w:rsid w:val="078B5EF9"/>
    <w:rsid w:val="079052BE"/>
    <w:rsid w:val="07A15BEC"/>
    <w:rsid w:val="07A273D0"/>
    <w:rsid w:val="07A67217"/>
    <w:rsid w:val="07AB20F7"/>
    <w:rsid w:val="07AD5BB4"/>
    <w:rsid w:val="07B05B4D"/>
    <w:rsid w:val="07B42F31"/>
    <w:rsid w:val="07BD7EF4"/>
    <w:rsid w:val="07C1191B"/>
    <w:rsid w:val="07C17B6D"/>
    <w:rsid w:val="07CA4C73"/>
    <w:rsid w:val="07CA6A21"/>
    <w:rsid w:val="07CD02C0"/>
    <w:rsid w:val="07CD6512"/>
    <w:rsid w:val="07D00531"/>
    <w:rsid w:val="07D10C52"/>
    <w:rsid w:val="07D3394D"/>
    <w:rsid w:val="07D5371B"/>
    <w:rsid w:val="07D77390"/>
    <w:rsid w:val="07DE24CD"/>
    <w:rsid w:val="07DF1CB7"/>
    <w:rsid w:val="07E51AAD"/>
    <w:rsid w:val="07E5385B"/>
    <w:rsid w:val="07E8334B"/>
    <w:rsid w:val="07EC4BEA"/>
    <w:rsid w:val="07EF46DA"/>
    <w:rsid w:val="07F276F1"/>
    <w:rsid w:val="07F27D26"/>
    <w:rsid w:val="07F4584C"/>
    <w:rsid w:val="07F615C4"/>
    <w:rsid w:val="07FA0A67"/>
    <w:rsid w:val="07FA1665"/>
    <w:rsid w:val="07FA3DBD"/>
    <w:rsid w:val="07FB495C"/>
    <w:rsid w:val="080C703A"/>
    <w:rsid w:val="080D3F81"/>
    <w:rsid w:val="08114650"/>
    <w:rsid w:val="08115CCB"/>
    <w:rsid w:val="08122176"/>
    <w:rsid w:val="081E6D6D"/>
    <w:rsid w:val="08206641"/>
    <w:rsid w:val="0822685D"/>
    <w:rsid w:val="082425D6"/>
    <w:rsid w:val="0828199A"/>
    <w:rsid w:val="08311465"/>
    <w:rsid w:val="08335BAA"/>
    <w:rsid w:val="08397703"/>
    <w:rsid w:val="083F05DB"/>
    <w:rsid w:val="08406CE4"/>
    <w:rsid w:val="08420CAE"/>
    <w:rsid w:val="084F6E12"/>
    <w:rsid w:val="08585DDB"/>
    <w:rsid w:val="0865674A"/>
    <w:rsid w:val="086A1FB2"/>
    <w:rsid w:val="0874698D"/>
    <w:rsid w:val="0878647D"/>
    <w:rsid w:val="087A6147"/>
    <w:rsid w:val="087B247B"/>
    <w:rsid w:val="0882554E"/>
    <w:rsid w:val="08852948"/>
    <w:rsid w:val="088B74D0"/>
    <w:rsid w:val="08944BD6"/>
    <w:rsid w:val="08963F22"/>
    <w:rsid w:val="089F7EAE"/>
    <w:rsid w:val="08AC6127"/>
    <w:rsid w:val="08AF79C5"/>
    <w:rsid w:val="08B31B73"/>
    <w:rsid w:val="08BA0844"/>
    <w:rsid w:val="08C571E9"/>
    <w:rsid w:val="08CE42EF"/>
    <w:rsid w:val="08D12032"/>
    <w:rsid w:val="08D613F6"/>
    <w:rsid w:val="08DD6D78"/>
    <w:rsid w:val="08E375DA"/>
    <w:rsid w:val="08E41D65"/>
    <w:rsid w:val="08E7715F"/>
    <w:rsid w:val="08EF501B"/>
    <w:rsid w:val="08FA1985"/>
    <w:rsid w:val="08FA50E4"/>
    <w:rsid w:val="090917CB"/>
    <w:rsid w:val="09093579"/>
    <w:rsid w:val="090B4EFE"/>
    <w:rsid w:val="091C5BAC"/>
    <w:rsid w:val="09216B15"/>
    <w:rsid w:val="092217DD"/>
    <w:rsid w:val="092B365C"/>
    <w:rsid w:val="09336F62"/>
    <w:rsid w:val="09353038"/>
    <w:rsid w:val="093920B1"/>
    <w:rsid w:val="093A1AC7"/>
    <w:rsid w:val="093A22DE"/>
    <w:rsid w:val="093A7294"/>
    <w:rsid w:val="093E76C7"/>
    <w:rsid w:val="094E378C"/>
    <w:rsid w:val="094E5430"/>
    <w:rsid w:val="094F10C7"/>
    <w:rsid w:val="095567BF"/>
    <w:rsid w:val="095F763D"/>
    <w:rsid w:val="09616F12"/>
    <w:rsid w:val="09721268"/>
    <w:rsid w:val="09750C0F"/>
    <w:rsid w:val="097746EA"/>
    <w:rsid w:val="09776735"/>
    <w:rsid w:val="097A7FD3"/>
    <w:rsid w:val="097C3D4B"/>
    <w:rsid w:val="097F383C"/>
    <w:rsid w:val="09811362"/>
    <w:rsid w:val="0985610F"/>
    <w:rsid w:val="09866C5A"/>
    <w:rsid w:val="098850AA"/>
    <w:rsid w:val="098A4A65"/>
    <w:rsid w:val="098A4ADC"/>
    <w:rsid w:val="098D41AA"/>
    <w:rsid w:val="098D5F59"/>
    <w:rsid w:val="098E519B"/>
    <w:rsid w:val="099948FD"/>
    <w:rsid w:val="099C263F"/>
    <w:rsid w:val="09A60DC8"/>
    <w:rsid w:val="09A82D92"/>
    <w:rsid w:val="09AA6B0A"/>
    <w:rsid w:val="09AC1E04"/>
    <w:rsid w:val="09B96D22"/>
    <w:rsid w:val="09BE25B6"/>
    <w:rsid w:val="09C149B3"/>
    <w:rsid w:val="09CC2259"/>
    <w:rsid w:val="09CF031F"/>
    <w:rsid w:val="09D326E5"/>
    <w:rsid w:val="09D73678"/>
    <w:rsid w:val="09D9119E"/>
    <w:rsid w:val="09DB4F16"/>
    <w:rsid w:val="09DC2A3C"/>
    <w:rsid w:val="09F71624"/>
    <w:rsid w:val="09FD03E9"/>
    <w:rsid w:val="0A165F4E"/>
    <w:rsid w:val="0A172A13"/>
    <w:rsid w:val="0A1C7939"/>
    <w:rsid w:val="0A200B7B"/>
    <w:rsid w:val="0A206DCD"/>
    <w:rsid w:val="0A263993"/>
    <w:rsid w:val="0A2D3AC2"/>
    <w:rsid w:val="0A4061E9"/>
    <w:rsid w:val="0A4D0042"/>
    <w:rsid w:val="0A5423D3"/>
    <w:rsid w:val="0A567761"/>
    <w:rsid w:val="0A5C1889"/>
    <w:rsid w:val="0A5C1D11"/>
    <w:rsid w:val="0A5E78F5"/>
    <w:rsid w:val="0A617F01"/>
    <w:rsid w:val="0A6273E5"/>
    <w:rsid w:val="0A6C3DC0"/>
    <w:rsid w:val="0A705714"/>
    <w:rsid w:val="0A717628"/>
    <w:rsid w:val="0A7333A0"/>
    <w:rsid w:val="0A80786B"/>
    <w:rsid w:val="0A841A94"/>
    <w:rsid w:val="0A880ABB"/>
    <w:rsid w:val="0A917CCA"/>
    <w:rsid w:val="0A9A6B7F"/>
    <w:rsid w:val="0AA23C86"/>
    <w:rsid w:val="0AA572D2"/>
    <w:rsid w:val="0AA755DF"/>
    <w:rsid w:val="0AAC6AA4"/>
    <w:rsid w:val="0AB87005"/>
    <w:rsid w:val="0AC60E76"/>
    <w:rsid w:val="0AC92FC0"/>
    <w:rsid w:val="0AC95943"/>
    <w:rsid w:val="0ACA0906"/>
    <w:rsid w:val="0ACE05D7"/>
    <w:rsid w:val="0AD33E3F"/>
    <w:rsid w:val="0ADA51CD"/>
    <w:rsid w:val="0ADD31D6"/>
    <w:rsid w:val="0ADF0A36"/>
    <w:rsid w:val="0AE8636D"/>
    <w:rsid w:val="0AF01DB9"/>
    <w:rsid w:val="0B00275A"/>
    <w:rsid w:val="0B0373BC"/>
    <w:rsid w:val="0B0B35D9"/>
    <w:rsid w:val="0B0B37C4"/>
    <w:rsid w:val="0B120D44"/>
    <w:rsid w:val="0B1421C3"/>
    <w:rsid w:val="0B1446EC"/>
    <w:rsid w:val="0B145577"/>
    <w:rsid w:val="0B154457"/>
    <w:rsid w:val="0B1A381C"/>
    <w:rsid w:val="0B1F52D6"/>
    <w:rsid w:val="0B212DFC"/>
    <w:rsid w:val="0B220922"/>
    <w:rsid w:val="0B2C0BE3"/>
    <w:rsid w:val="0B2F3171"/>
    <w:rsid w:val="0B301291"/>
    <w:rsid w:val="0B304DED"/>
    <w:rsid w:val="0B372BD2"/>
    <w:rsid w:val="0B3A6827"/>
    <w:rsid w:val="0B3C7C36"/>
    <w:rsid w:val="0B405729"/>
    <w:rsid w:val="0B415354"/>
    <w:rsid w:val="0B4B7CAD"/>
    <w:rsid w:val="0B634B20"/>
    <w:rsid w:val="0B64176A"/>
    <w:rsid w:val="0B6662FC"/>
    <w:rsid w:val="0B6B4077"/>
    <w:rsid w:val="0B753148"/>
    <w:rsid w:val="0B7C0487"/>
    <w:rsid w:val="0B813B06"/>
    <w:rsid w:val="0B8E420A"/>
    <w:rsid w:val="0B9115D3"/>
    <w:rsid w:val="0B943C03"/>
    <w:rsid w:val="0B995089"/>
    <w:rsid w:val="0B9A68A9"/>
    <w:rsid w:val="0BB377CC"/>
    <w:rsid w:val="0BB974D9"/>
    <w:rsid w:val="0BCB720C"/>
    <w:rsid w:val="0BD0037E"/>
    <w:rsid w:val="0BD27BF6"/>
    <w:rsid w:val="0BDF05C2"/>
    <w:rsid w:val="0BE678A2"/>
    <w:rsid w:val="0BED7182"/>
    <w:rsid w:val="0BFC73C5"/>
    <w:rsid w:val="0C032502"/>
    <w:rsid w:val="0C0369A6"/>
    <w:rsid w:val="0C04484A"/>
    <w:rsid w:val="0C0F70F9"/>
    <w:rsid w:val="0C152E81"/>
    <w:rsid w:val="0C2801BA"/>
    <w:rsid w:val="0C2B1A59"/>
    <w:rsid w:val="0C2F1549"/>
    <w:rsid w:val="0C322DE7"/>
    <w:rsid w:val="0C360B29"/>
    <w:rsid w:val="0C3703FE"/>
    <w:rsid w:val="0C3B3C7D"/>
    <w:rsid w:val="0C3D1EB8"/>
    <w:rsid w:val="0C4026A9"/>
    <w:rsid w:val="0C48260B"/>
    <w:rsid w:val="0C4F19E0"/>
    <w:rsid w:val="0C5712F3"/>
    <w:rsid w:val="0C594818"/>
    <w:rsid w:val="0C707E76"/>
    <w:rsid w:val="0C743400"/>
    <w:rsid w:val="0C78199D"/>
    <w:rsid w:val="0C7927C4"/>
    <w:rsid w:val="0C7C4062"/>
    <w:rsid w:val="0C7E602C"/>
    <w:rsid w:val="0C825C05"/>
    <w:rsid w:val="0C880C59"/>
    <w:rsid w:val="0C8F1FE8"/>
    <w:rsid w:val="0C931AD8"/>
    <w:rsid w:val="0CAB2EAE"/>
    <w:rsid w:val="0CB33F28"/>
    <w:rsid w:val="0CB65074"/>
    <w:rsid w:val="0CBC08D9"/>
    <w:rsid w:val="0CBD6B55"/>
    <w:rsid w:val="0CC2416B"/>
    <w:rsid w:val="0CC779D3"/>
    <w:rsid w:val="0CCA3020"/>
    <w:rsid w:val="0CCA74C4"/>
    <w:rsid w:val="0CCD48BE"/>
    <w:rsid w:val="0CCF0F9A"/>
    <w:rsid w:val="0CD249C5"/>
    <w:rsid w:val="0CD25B84"/>
    <w:rsid w:val="0CD30126"/>
    <w:rsid w:val="0CD520F0"/>
    <w:rsid w:val="0CE42333"/>
    <w:rsid w:val="0CE9794A"/>
    <w:rsid w:val="0CEC743A"/>
    <w:rsid w:val="0CEF0CD8"/>
    <w:rsid w:val="0CF87B8D"/>
    <w:rsid w:val="0CFD33F5"/>
    <w:rsid w:val="0CFE2CC9"/>
    <w:rsid w:val="0CFF0F1B"/>
    <w:rsid w:val="0D006A41"/>
    <w:rsid w:val="0D0429D6"/>
    <w:rsid w:val="0D084CFA"/>
    <w:rsid w:val="0D142C1B"/>
    <w:rsid w:val="0D1A56E1"/>
    <w:rsid w:val="0D24384A"/>
    <w:rsid w:val="0D246BD4"/>
    <w:rsid w:val="0D2C5A88"/>
    <w:rsid w:val="0D3474B7"/>
    <w:rsid w:val="0D365267"/>
    <w:rsid w:val="0D441024"/>
    <w:rsid w:val="0D447276"/>
    <w:rsid w:val="0D452426"/>
    <w:rsid w:val="0D4C7ED9"/>
    <w:rsid w:val="0D4E59FF"/>
    <w:rsid w:val="0D60461B"/>
    <w:rsid w:val="0D621C7D"/>
    <w:rsid w:val="0D7511DD"/>
    <w:rsid w:val="0D753DCD"/>
    <w:rsid w:val="0D815DD4"/>
    <w:rsid w:val="0D887163"/>
    <w:rsid w:val="0D933D59"/>
    <w:rsid w:val="0D957AD2"/>
    <w:rsid w:val="0D9C2C0E"/>
    <w:rsid w:val="0DA16476"/>
    <w:rsid w:val="0DA22EE7"/>
    <w:rsid w:val="0DA87805"/>
    <w:rsid w:val="0DAE0C04"/>
    <w:rsid w:val="0DB066B9"/>
    <w:rsid w:val="0DBA12E6"/>
    <w:rsid w:val="0DC43F13"/>
    <w:rsid w:val="0DC7755F"/>
    <w:rsid w:val="0DD028B8"/>
    <w:rsid w:val="0DD841CA"/>
    <w:rsid w:val="0DE72AC0"/>
    <w:rsid w:val="0DEE0F90"/>
    <w:rsid w:val="0DF77E44"/>
    <w:rsid w:val="0E0171D5"/>
    <w:rsid w:val="0E034A3B"/>
    <w:rsid w:val="0E040F4F"/>
    <w:rsid w:val="0E0B686A"/>
    <w:rsid w:val="0E0F404C"/>
    <w:rsid w:val="0E0F5966"/>
    <w:rsid w:val="0E140D02"/>
    <w:rsid w:val="0E194F31"/>
    <w:rsid w:val="0E19600D"/>
    <w:rsid w:val="0E236E8B"/>
    <w:rsid w:val="0E250E55"/>
    <w:rsid w:val="0E2774A7"/>
    <w:rsid w:val="0E2D7D0A"/>
    <w:rsid w:val="0E3764D5"/>
    <w:rsid w:val="0E4D5CB6"/>
    <w:rsid w:val="0E5057A7"/>
    <w:rsid w:val="0E533824"/>
    <w:rsid w:val="0E533AD6"/>
    <w:rsid w:val="0E5C5CB7"/>
    <w:rsid w:val="0E6059EA"/>
    <w:rsid w:val="0E73034D"/>
    <w:rsid w:val="0E770F85"/>
    <w:rsid w:val="0E7816AB"/>
    <w:rsid w:val="0E7D1D19"/>
    <w:rsid w:val="0E8A0CB9"/>
    <w:rsid w:val="0E990274"/>
    <w:rsid w:val="0EA87391"/>
    <w:rsid w:val="0EA93835"/>
    <w:rsid w:val="0EAC1011"/>
    <w:rsid w:val="0EAD2BF9"/>
    <w:rsid w:val="0EAF071F"/>
    <w:rsid w:val="0EB67D00"/>
    <w:rsid w:val="0EB75826"/>
    <w:rsid w:val="0EB977F0"/>
    <w:rsid w:val="0EBE4E06"/>
    <w:rsid w:val="0EBE6BB4"/>
    <w:rsid w:val="0EC266A4"/>
    <w:rsid w:val="0ECD7420"/>
    <w:rsid w:val="0ED10695"/>
    <w:rsid w:val="0ED40142"/>
    <w:rsid w:val="0EDE2DB2"/>
    <w:rsid w:val="0EE7610B"/>
    <w:rsid w:val="0EF56A7A"/>
    <w:rsid w:val="0EF8218A"/>
    <w:rsid w:val="0EF83861"/>
    <w:rsid w:val="0EFD435B"/>
    <w:rsid w:val="0EFE3455"/>
    <w:rsid w:val="0F0071CD"/>
    <w:rsid w:val="0F087E2F"/>
    <w:rsid w:val="0F13775A"/>
    <w:rsid w:val="0F152D89"/>
    <w:rsid w:val="0F1862C4"/>
    <w:rsid w:val="0F1F5082"/>
    <w:rsid w:val="0F3155D8"/>
    <w:rsid w:val="0F39623B"/>
    <w:rsid w:val="0F474DFC"/>
    <w:rsid w:val="0F490B74"/>
    <w:rsid w:val="0F4D1A8A"/>
    <w:rsid w:val="0F5B294D"/>
    <w:rsid w:val="0F5F45FE"/>
    <w:rsid w:val="0F6646C1"/>
    <w:rsid w:val="0F680C0A"/>
    <w:rsid w:val="0F692FC4"/>
    <w:rsid w:val="0F803E6A"/>
    <w:rsid w:val="0F865924"/>
    <w:rsid w:val="0F87344A"/>
    <w:rsid w:val="0F8B118C"/>
    <w:rsid w:val="0F8B4CE8"/>
    <w:rsid w:val="0F8E47D8"/>
    <w:rsid w:val="0F916077"/>
    <w:rsid w:val="0F987405"/>
    <w:rsid w:val="0F9A112B"/>
    <w:rsid w:val="0FA36690"/>
    <w:rsid w:val="0FA638D0"/>
    <w:rsid w:val="0FA92AAF"/>
    <w:rsid w:val="0FAD1102"/>
    <w:rsid w:val="0FAE19B3"/>
    <w:rsid w:val="0FB0653F"/>
    <w:rsid w:val="0FB6788B"/>
    <w:rsid w:val="0FBA55CD"/>
    <w:rsid w:val="0FBF0419"/>
    <w:rsid w:val="0FBF0E36"/>
    <w:rsid w:val="0FC24482"/>
    <w:rsid w:val="0FD51400"/>
    <w:rsid w:val="0FD52407"/>
    <w:rsid w:val="0FDB3082"/>
    <w:rsid w:val="0FE8213B"/>
    <w:rsid w:val="0FE97C61"/>
    <w:rsid w:val="0FFB34EC"/>
    <w:rsid w:val="0FFD717C"/>
    <w:rsid w:val="100B05B9"/>
    <w:rsid w:val="100D7DF3"/>
    <w:rsid w:val="100E1475"/>
    <w:rsid w:val="10141182"/>
    <w:rsid w:val="10152804"/>
    <w:rsid w:val="10156CA8"/>
    <w:rsid w:val="101747CE"/>
    <w:rsid w:val="1017657C"/>
    <w:rsid w:val="101E3DAE"/>
    <w:rsid w:val="10207243"/>
    <w:rsid w:val="10233173"/>
    <w:rsid w:val="10256788"/>
    <w:rsid w:val="1030763E"/>
    <w:rsid w:val="10330E74"/>
    <w:rsid w:val="103449ED"/>
    <w:rsid w:val="104135F9"/>
    <w:rsid w:val="1045133B"/>
    <w:rsid w:val="1045758D"/>
    <w:rsid w:val="10480E2B"/>
    <w:rsid w:val="1058028C"/>
    <w:rsid w:val="10670422"/>
    <w:rsid w:val="106D2F64"/>
    <w:rsid w:val="10771710"/>
    <w:rsid w:val="108300B5"/>
    <w:rsid w:val="108F6A5A"/>
    <w:rsid w:val="109127D2"/>
    <w:rsid w:val="109337A1"/>
    <w:rsid w:val="10993435"/>
    <w:rsid w:val="109F5871"/>
    <w:rsid w:val="10A046E0"/>
    <w:rsid w:val="10A105DB"/>
    <w:rsid w:val="10A14D2A"/>
    <w:rsid w:val="10A6401B"/>
    <w:rsid w:val="10A93E18"/>
    <w:rsid w:val="10AA27A5"/>
    <w:rsid w:val="10AA3894"/>
    <w:rsid w:val="10B416AB"/>
    <w:rsid w:val="10B63710"/>
    <w:rsid w:val="10C67A22"/>
    <w:rsid w:val="10C761F4"/>
    <w:rsid w:val="10CF6E57"/>
    <w:rsid w:val="10D27CCB"/>
    <w:rsid w:val="10E03D1A"/>
    <w:rsid w:val="10E24DDC"/>
    <w:rsid w:val="10F10820"/>
    <w:rsid w:val="10F644F5"/>
    <w:rsid w:val="10F64C39"/>
    <w:rsid w:val="10FA79A5"/>
    <w:rsid w:val="11001706"/>
    <w:rsid w:val="11017E3D"/>
    <w:rsid w:val="1102547E"/>
    <w:rsid w:val="1102722C"/>
    <w:rsid w:val="110A7E8F"/>
    <w:rsid w:val="1112258D"/>
    <w:rsid w:val="111B209C"/>
    <w:rsid w:val="111C1225"/>
    <w:rsid w:val="111C2F7A"/>
    <w:rsid w:val="111D7BC2"/>
    <w:rsid w:val="1131366D"/>
    <w:rsid w:val="11366ED6"/>
    <w:rsid w:val="113B3163"/>
    <w:rsid w:val="114E06C3"/>
    <w:rsid w:val="115F642C"/>
    <w:rsid w:val="11621A79"/>
    <w:rsid w:val="11665CA1"/>
    <w:rsid w:val="11673533"/>
    <w:rsid w:val="116C6D9B"/>
    <w:rsid w:val="116E041E"/>
    <w:rsid w:val="116E2B13"/>
    <w:rsid w:val="116F1B18"/>
    <w:rsid w:val="1170063A"/>
    <w:rsid w:val="11716160"/>
    <w:rsid w:val="11717F0E"/>
    <w:rsid w:val="117D2D56"/>
    <w:rsid w:val="117D68B3"/>
    <w:rsid w:val="118006F3"/>
    <w:rsid w:val="11802B88"/>
    <w:rsid w:val="118440E5"/>
    <w:rsid w:val="11902A8A"/>
    <w:rsid w:val="1191235E"/>
    <w:rsid w:val="119654BE"/>
    <w:rsid w:val="119F4A7B"/>
    <w:rsid w:val="11AC7198"/>
    <w:rsid w:val="11B03A6A"/>
    <w:rsid w:val="11B30204"/>
    <w:rsid w:val="11B30526"/>
    <w:rsid w:val="11B322D4"/>
    <w:rsid w:val="11BD767B"/>
    <w:rsid w:val="11BF6ECB"/>
    <w:rsid w:val="11C42733"/>
    <w:rsid w:val="11CC783A"/>
    <w:rsid w:val="11D230A2"/>
    <w:rsid w:val="11D95DD0"/>
    <w:rsid w:val="11DA1F57"/>
    <w:rsid w:val="11DF77BD"/>
    <w:rsid w:val="11E55436"/>
    <w:rsid w:val="11E93F48"/>
    <w:rsid w:val="11ED6F4D"/>
    <w:rsid w:val="11F73A2B"/>
    <w:rsid w:val="11FD79F3"/>
    <w:rsid w:val="120174E4"/>
    <w:rsid w:val="12062D4C"/>
    <w:rsid w:val="120B0362"/>
    <w:rsid w:val="121E0096"/>
    <w:rsid w:val="12244F80"/>
    <w:rsid w:val="12260CF8"/>
    <w:rsid w:val="1226600A"/>
    <w:rsid w:val="122E5C58"/>
    <w:rsid w:val="12392983"/>
    <w:rsid w:val="123F67F5"/>
    <w:rsid w:val="12415B32"/>
    <w:rsid w:val="12467D2C"/>
    <w:rsid w:val="12486EC1"/>
    <w:rsid w:val="124B4C03"/>
    <w:rsid w:val="12505D75"/>
    <w:rsid w:val="125515DD"/>
    <w:rsid w:val="12582E7C"/>
    <w:rsid w:val="126A598F"/>
    <w:rsid w:val="126B4B82"/>
    <w:rsid w:val="126D1246"/>
    <w:rsid w:val="127777A6"/>
    <w:rsid w:val="12795709"/>
    <w:rsid w:val="127E3C6B"/>
    <w:rsid w:val="12850115"/>
    <w:rsid w:val="1288550F"/>
    <w:rsid w:val="129308E6"/>
    <w:rsid w:val="1293615E"/>
    <w:rsid w:val="12937EC0"/>
    <w:rsid w:val="12954EE3"/>
    <w:rsid w:val="12A06CFD"/>
    <w:rsid w:val="12A12A75"/>
    <w:rsid w:val="12A762DD"/>
    <w:rsid w:val="12AD1825"/>
    <w:rsid w:val="12B207DE"/>
    <w:rsid w:val="12C16AC3"/>
    <w:rsid w:val="12CC7AF2"/>
    <w:rsid w:val="12DA1AE3"/>
    <w:rsid w:val="12DB7D35"/>
    <w:rsid w:val="12E34E3B"/>
    <w:rsid w:val="12EA7F78"/>
    <w:rsid w:val="12FD6626"/>
    <w:rsid w:val="1305241F"/>
    <w:rsid w:val="130A15DB"/>
    <w:rsid w:val="130A6A14"/>
    <w:rsid w:val="130C5FE0"/>
    <w:rsid w:val="131153B8"/>
    <w:rsid w:val="13152493"/>
    <w:rsid w:val="13160D6D"/>
    <w:rsid w:val="13182D37"/>
    <w:rsid w:val="13280AA0"/>
    <w:rsid w:val="132A2A6A"/>
    <w:rsid w:val="132A4818"/>
    <w:rsid w:val="132B76BA"/>
    <w:rsid w:val="13315BA7"/>
    <w:rsid w:val="133236CD"/>
    <w:rsid w:val="13381555"/>
    <w:rsid w:val="133B344E"/>
    <w:rsid w:val="13407198"/>
    <w:rsid w:val="1345175E"/>
    <w:rsid w:val="13456171"/>
    <w:rsid w:val="134F0723"/>
    <w:rsid w:val="13533D6F"/>
    <w:rsid w:val="13545D39"/>
    <w:rsid w:val="136046DE"/>
    <w:rsid w:val="1360648C"/>
    <w:rsid w:val="13651CF4"/>
    <w:rsid w:val="13655850"/>
    <w:rsid w:val="136715C8"/>
    <w:rsid w:val="136748DC"/>
    <w:rsid w:val="136F66CF"/>
    <w:rsid w:val="13765CAF"/>
    <w:rsid w:val="137A57A0"/>
    <w:rsid w:val="137F5E32"/>
    <w:rsid w:val="13801C0C"/>
    <w:rsid w:val="1382549E"/>
    <w:rsid w:val="1384217A"/>
    <w:rsid w:val="13873A19"/>
    <w:rsid w:val="13951726"/>
    <w:rsid w:val="13954387"/>
    <w:rsid w:val="13A34A07"/>
    <w:rsid w:val="13A82846"/>
    <w:rsid w:val="13BF21F2"/>
    <w:rsid w:val="13C95DDF"/>
    <w:rsid w:val="13CF0EA7"/>
    <w:rsid w:val="13D1738A"/>
    <w:rsid w:val="13D22765"/>
    <w:rsid w:val="13D34EB0"/>
    <w:rsid w:val="13DF1AA7"/>
    <w:rsid w:val="13E23345"/>
    <w:rsid w:val="13E501BC"/>
    <w:rsid w:val="13E72709"/>
    <w:rsid w:val="13E946D3"/>
    <w:rsid w:val="13F60B9E"/>
    <w:rsid w:val="13FC61B5"/>
    <w:rsid w:val="13FD017F"/>
    <w:rsid w:val="14065285"/>
    <w:rsid w:val="1407037D"/>
    <w:rsid w:val="140E5EE8"/>
    <w:rsid w:val="141F00F5"/>
    <w:rsid w:val="1423579A"/>
    <w:rsid w:val="142851FC"/>
    <w:rsid w:val="142B6A9A"/>
    <w:rsid w:val="142F42D9"/>
    <w:rsid w:val="143771ED"/>
    <w:rsid w:val="14396509"/>
    <w:rsid w:val="143C4803"/>
    <w:rsid w:val="144143EC"/>
    <w:rsid w:val="144162BD"/>
    <w:rsid w:val="14506500"/>
    <w:rsid w:val="14606E26"/>
    <w:rsid w:val="146124BC"/>
    <w:rsid w:val="146A2D0C"/>
    <w:rsid w:val="146A5814"/>
    <w:rsid w:val="14706BA3"/>
    <w:rsid w:val="14726477"/>
    <w:rsid w:val="14740441"/>
    <w:rsid w:val="14773A8D"/>
    <w:rsid w:val="14774DBB"/>
    <w:rsid w:val="1481490C"/>
    <w:rsid w:val="148166BA"/>
    <w:rsid w:val="14887A48"/>
    <w:rsid w:val="149219C3"/>
    <w:rsid w:val="14983A03"/>
    <w:rsid w:val="14997EA7"/>
    <w:rsid w:val="149A59CD"/>
    <w:rsid w:val="149A777C"/>
    <w:rsid w:val="149F13F6"/>
    <w:rsid w:val="14A14F08"/>
    <w:rsid w:val="14A64372"/>
    <w:rsid w:val="14A957E1"/>
    <w:rsid w:val="14B545B5"/>
    <w:rsid w:val="14B7657F"/>
    <w:rsid w:val="14B940A6"/>
    <w:rsid w:val="14BA7E1E"/>
    <w:rsid w:val="14BB6070"/>
    <w:rsid w:val="14C50C9C"/>
    <w:rsid w:val="14C8078D"/>
    <w:rsid w:val="14C8508E"/>
    <w:rsid w:val="14D07641"/>
    <w:rsid w:val="14D42C8D"/>
    <w:rsid w:val="14DC7D94"/>
    <w:rsid w:val="14DD2C3C"/>
    <w:rsid w:val="14E135FC"/>
    <w:rsid w:val="14EE3158"/>
    <w:rsid w:val="14F3618F"/>
    <w:rsid w:val="14F926F4"/>
    <w:rsid w:val="15111B53"/>
    <w:rsid w:val="15145780"/>
    <w:rsid w:val="15155054"/>
    <w:rsid w:val="151612A0"/>
    <w:rsid w:val="15187343"/>
    <w:rsid w:val="151E65FF"/>
    <w:rsid w:val="15217B0C"/>
    <w:rsid w:val="152F4368"/>
    <w:rsid w:val="153674A4"/>
    <w:rsid w:val="153D5DB8"/>
    <w:rsid w:val="15431BC1"/>
    <w:rsid w:val="154604B4"/>
    <w:rsid w:val="1546345F"/>
    <w:rsid w:val="154716B1"/>
    <w:rsid w:val="154B723A"/>
    <w:rsid w:val="154C4DEF"/>
    <w:rsid w:val="154D47EE"/>
    <w:rsid w:val="155372C6"/>
    <w:rsid w:val="155618F4"/>
    <w:rsid w:val="156009C5"/>
    <w:rsid w:val="156264EB"/>
    <w:rsid w:val="156404B5"/>
    <w:rsid w:val="15655FDB"/>
    <w:rsid w:val="1565770B"/>
    <w:rsid w:val="1567373F"/>
    <w:rsid w:val="15775332"/>
    <w:rsid w:val="157C128B"/>
    <w:rsid w:val="15853F88"/>
    <w:rsid w:val="159266A5"/>
    <w:rsid w:val="1594066F"/>
    <w:rsid w:val="159F4828"/>
    <w:rsid w:val="15A00DC2"/>
    <w:rsid w:val="15A22D8C"/>
    <w:rsid w:val="15A308B2"/>
    <w:rsid w:val="15A46B04"/>
    <w:rsid w:val="15A72150"/>
    <w:rsid w:val="15A85EC8"/>
    <w:rsid w:val="15AA7E92"/>
    <w:rsid w:val="15AE1730"/>
    <w:rsid w:val="15B946B5"/>
    <w:rsid w:val="15BD1974"/>
    <w:rsid w:val="15CC7E09"/>
    <w:rsid w:val="15E038B4"/>
    <w:rsid w:val="15E433A4"/>
    <w:rsid w:val="15E50ECA"/>
    <w:rsid w:val="15E84D96"/>
    <w:rsid w:val="15F15AC1"/>
    <w:rsid w:val="15F555B1"/>
    <w:rsid w:val="16087E1D"/>
    <w:rsid w:val="16092E0B"/>
    <w:rsid w:val="160F7CF5"/>
    <w:rsid w:val="16136167"/>
    <w:rsid w:val="16157A16"/>
    <w:rsid w:val="161812A0"/>
    <w:rsid w:val="161A6DC6"/>
    <w:rsid w:val="1621168A"/>
    <w:rsid w:val="16232935"/>
    <w:rsid w:val="163476F3"/>
    <w:rsid w:val="163606BA"/>
    <w:rsid w:val="163A1216"/>
    <w:rsid w:val="16404216"/>
    <w:rsid w:val="164057B9"/>
    <w:rsid w:val="164E4CC1"/>
    <w:rsid w:val="16522B13"/>
    <w:rsid w:val="16557DFE"/>
    <w:rsid w:val="16640041"/>
    <w:rsid w:val="166B13D0"/>
    <w:rsid w:val="167A5AB7"/>
    <w:rsid w:val="167D7D03"/>
    <w:rsid w:val="168055DF"/>
    <w:rsid w:val="16810BF3"/>
    <w:rsid w:val="168204F4"/>
    <w:rsid w:val="1684629D"/>
    <w:rsid w:val="168E50BE"/>
    <w:rsid w:val="16923B57"/>
    <w:rsid w:val="169A3A63"/>
    <w:rsid w:val="16A82624"/>
    <w:rsid w:val="16AE37A0"/>
    <w:rsid w:val="16AF39B2"/>
    <w:rsid w:val="16B0708C"/>
    <w:rsid w:val="16B20DAC"/>
    <w:rsid w:val="16E318AE"/>
    <w:rsid w:val="16F14152"/>
    <w:rsid w:val="16F7322A"/>
    <w:rsid w:val="170A6E3A"/>
    <w:rsid w:val="170D692B"/>
    <w:rsid w:val="170E5F1D"/>
    <w:rsid w:val="171001C9"/>
    <w:rsid w:val="17101F77"/>
    <w:rsid w:val="17110FDD"/>
    <w:rsid w:val="17127A9D"/>
    <w:rsid w:val="171C091C"/>
    <w:rsid w:val="17231CAA"/>
    <w:rsid w:val="172C7345"/>
    <w:rsid w:val="173914CE"/>
    <w:rsid w:val="173D181F"/>
    <w:rsid w:val="174A7237"/>
    <w:rsid w:val="174D6D27"/>
    <w:rsid w:val="174F2A9F"/>
    <w:rsid w:val="17527C44"/>
    <w:rsid w:val="17591B70"/>
    <w:rsid w:val="175B58E8"/>
    <w:rsid w:val="175C5D77"/>
    <w:rsid w:val="17636D67"/>
    <w:rsid w:val="17701D14"/>
    <w:rsid w:val="17735226"/>
    <w:rsid w:val="1776627E"/>
    <w:rsid w:val="177B4E60"/>
    <w:rsid w:val="177E15D6"/>
    <w:rsid w:val="177E3384"/>
    <w:rsid w:val="17807D99"/>
    <w:rsid w:val="17832749"/>
    <w:rsid w:val="17864A64"/>
    <w:rsid w:val="17920BDE"/>
    <w:rsid w:val="17942BA8"/>
    <w:rsid w:val="179B7A92"/>
    <w:rsid w:val="17A367A4"/>
    <w:rsid w:val="17AB50E7"/>
    <w:rsid w:val="17AD5A18"/>
    <w:rsid w:val="17AF25C7"/>
    <w:rsid w:val="17AF6E8C"/>
    <w:rsid w:val="17B208B6"/>
    <w:rsid w:val="17B9260F"/>
    <w:rsid w:val="17C90AA4"/>
    <w:rsid w:val="17D13C7E"/>
    <w:rsid w:val="17D605BF"/>
    <w:rsid w:val="17D905BB"/>
    <w:rsid w:val="17D9680D"/>
    <w:rsid w:val="17E37F22"/>
    <w:rsid w:val="17F11E34"/>
    <w:rsid w:val="17FD7D6F"/>
    <w:rsid w:val="18047D2E"/>
    <w:rsid w:val="18055854"/>
    <w:rsid w:val="180715CC"/>
    <w:rsid w:val="1808227C"/>
    <w:rsid w:val="180933E1"/>
    <w:rsid w:val="180C0990"/>
    <w:rsid w:val="180C273E"/>
    <w:rsid w:val="181635BD"/>
    <w:rsid w:val="18185587"/>
    <w:rsid w:val="18187E5A"/>
    <w:rsid w:val="181B2993"/>
    <w:rsid w:val="181B5077"/>
    <w:rsid w:val="181D290B"/>
    <w:rsid w:val="182061EA"/>
    <w:rsid w:val="1821268E"/>
    <w:rsid w:val="18267196"/>
    <w:rsid w:val="1827004C"/>
    <w:rsid w:val="183879D7"/>
    <w:rsid w:val="183A54FD"/>
    <w:rsid w:val="1849010B"/>
    <w:rsid w:val="18495740"/>
    <w:rsid w:val="184A3267"/>
    <w:rsid w:val="184B14B9"/>
    <w:rsid w:val="18527B10"/>
    <w:rsid w:val="185365BF"/>
    <w:rsid w:val="18581E27"/>
    <w:rsid w:val="185B3913"/>
    <w:rsid w:val="185D0079"/>
    <w:rsid w:val="185F31B6"/>
    <w:rsid w:val="18660E62"/>
    <w:rsid w:val="186B1B5B"/>
    <w:rsid w:val="187F5606"/>
    <w:rsid w:val="18866995"/>
    <w:rsid w:val="188872B0"/>
    <w:rsid w:val="189146F7"/>
    <w:rsid w:val="1896721E"/>
    <w:rsid w:val="189B3AC2"/>
    <w:rsid w:val="189F624C"/>
    <w:rsid w:val="18A62B93"/>
    <w:rsid w:val="18A87324"/>
    <w:rsid w:val="18A94431"/>
    <w:rsid w:val="18AF5EEB"/>
    <w:rsid w:val="18B2778A"/>
    <w:rsid w:val="18B54B84"/>
    <w:rsid w:val="18B81ABD"/>
    <w:rsid w:val="18B84674"/>
    <w:rsid w:val="18C511CC"/>
    <w:rsid w:val="18C56547"/>
    <w:rsid w:val="18CE2AB8"/>
    <w:rsid w:val="18D3325C"/>
    <w:rsid w:val="18D56FD4"/>
    <w:rsid w:val="18D7685E"/>
    <w:rsid w:val="18D86AC4"/>
    <w:rsid w:val="18E831AB"/>
    <w:rsid w:val="18E86D07"/>
    <w:rsid w:val="18EA185C"/>
    <w:rsid w:val="18FF04F5"/>
    <w:rsid w:val="18FF22A3"/>
    <w:rsid w:val="19012A84"/>
    <w:rsid w:val="190A1374"/>
    <w:rsid w:val="19131742"/>
    <w:rsid w:val="19157D18"/>
    <w:rsid w:val="192817FA"/>
    <w:rsid w:val="19353F17"/>
    <w:rsid w:val="19386A48"/>
    <w:rsid w:val="193A32DB"/>
    <w:rsid w:val="193E726F"/>
    <w:rsid w:val="195919B3"/>
    <w:rsid w:val="19595E57"/>
    <w:rsid w:val="19597C05"/>
    <w:rsid w:val="195B397D"/>
    <w:rsid w:val="195C14A3"/>
    <w:rsid w:val="195C1829"/>
    <w:rsid w:val="19616ABA"/>
    <w:rsid w:val="19653EFB"/>
    <w:rsid w:val="196547FC"/>
    <w:rsid w:val="196837FE"/>
    <w:rsid w:val="197426D9"/>
    <w:rsid w:val="197B3EB5"/>
    <w:rsid w:val="198253AE"/>
    <w:rsid w:val="198A1BDB"/>
    <w:rsid w:val="19924EC5"/>
    <w:rsid w:val="19932736"/>
    <w:rsid w:val="19962C07"/>
    <w:rsid w:val="199A28DD"/>
    <w:rsid w:val="199B021E"/>
    <w:rsid w:val="199E57CD"/>
    <w:rsid w:val="19AC41D9"/>
    <w:rsid w:val="19B337B9"/>
    <w:rsid w:val="19BB5697"/>
    <w:rsid w:val="19BD63E6"/>
    <w:rsid w:val="19C07C84"/>
    <w:rsid w:val="19CA5BE8"/>
    <w:rsid w:val="19CC6629"/>
    <w:rsid w:val="19CE23A1"/>
    <w:rsid w:val="19D159ED"/>
    <w:rsid w:val="19D570B8"/>
    <w:rsid w:val="19D85750"/>
    <w:rsid w:val="19DC39BF"/>
    <w:rsid w:val="19DC40F4"/>
    <w:rsid w:val="19E03E83"/>
    <w:rsid w:val="19E05580"/>
    <w:rsid w:val="19E27BFB"/>
    <w:rsid w:val="19F45BB5"/>
    <w:rsid w:val="19F636A6"/>
    <w:rsid w:val="19F65C15"/>
    <w:rsid w:val="1A0E6F51"/>
    <w:rsid w:val="1A11228E"/>
    <w:rsid w:val="1A18361C"/>
    <w:rsid w:val="1A1C66C0"/>
    <w:rsid w:val="1A210E28"/>
    <w:rsid w:val="1A230A8F"/>
    <w:rsid w:val="1A246465"/>
    <w:rsid w:val="1A2829B4"/>
    <w:rsid w:val="1A300DC6"/>
    <w:rsid w:val="1A3348FA"/>
    <w:rsid w:val="1A42393B"/>
    <w:rsid w:val="1A4563DB"/>
    <w:rsid w:val="1A475CB0"/>
    <w:rsid w:val="1A4A57A0"/>
    <w:rsid w:val="1A4E5290"/>
    <w:rsid w:val="1A5B175B"/>
    <w:rsid w:val="1A686C0E"/>
    <w:rsid w:val="1A78055F"/>
    <w:rsid w:val="1A7867B1"/>
    <w:rsid w:val="1A7F5449"/>
    <w:rsid w:val="1A840CB2"/>
    <w:rsid w:val="1A907657"/>
    <w:rsid w:val="1A954C6D"/>
    <w:rsid w:val="1A9A6727"/>
    <w:rsid w:val="1A9F78CD"/>
    <w:rsid w:val="1AAD45DE"/>
    <w:rsid w:val="1AB24061"/>
    <w:rsid w:val="1AB45DC4"/>
    <w:rsid w:val="1AC13CB4"/>
    <w:rsid w:val="1AC76DF0"/>
    <w:rsid w:val="1AC775D5"/>
    <w:rsid w:val="1ACC4407"/>
    <w:rsid w:val="1ACF03B6"/>
    <w:rsid w:val="1ADC7E3A"/>
    <w:rsid w:val="1AE87AC5"/>
    <w:rsid w:val="1AE90211"/>
    <w:rsid w:val="1AE96D67"/>
    <w:rsid w:val="1AEE5D4C"/>
    <w:rsid w:val="1AF06347"/>
    <w:rsid w:val="1AF17E84"/>
    <w:rsid w:val="1AF20311"/>
    <w:rsid w:val="1B046F80"/>
    <w:rsid w:val="1B087B35"/>
    <w:rsid w:val="1B0D0CA7"/>
    <w:rsid w:val="1B0D17E8"/>
    <w:rsid w:val="1B0E4A1F"/>
    <w:rsid w:val="1B122762"/>
    <w:rsid w:val="1B133686"/>
    <w:rsid w:val="1B1C713C"/>
    <w:rsid w:val="1B1E1106"/>
    <w:rsid w:val="1B216501"/>
    <w:rsid w:val="1B226512"/>
    <w:rsid w:val="1B2474AF"/>
    <w:rsid w:val="1B2915DB"/>
    <w:rsid w:val="1B293607"/>
    <w:rsid w:val="1B3267B5"/>
    <w:rsid w:val="1B372FF5"/>
    <w:rsid w:val="1B40161D"/>
    <w:rsid w:val="1B441859"/>
    <w:rsid w:val="1B4A3CA9"/>
    <w:rsid w:val="1B50328A"/>
    <w:rsid w:val="1B5543FC"/>
    <w:rsid w:val="1B574618"/>
    <w:rsid w:val="1B577516"/>
    <w:rsid w:val="1B5B5EB7"/>
    <w:rsid w:val="1B5B6908"/>
    <w:rsid w:val="1B5C578B"/>
    <w:rsid w:val="1B605A57"/>
    <w:rsid w:val="1B6606B1"/>
    <w:rsid w:val="1B7A3E63"/>
    <w:rsid w:val="1B8042C6"/>
    <w:rsid w:val="1B860A5A"/>
    <w:rsid w:val="1B896FF8"/>
    <w:rsid w:val="1B8A679C"/>
    <w:rsid w:val="1B973893"/>
    <w:rsid w:val="1B993A77"/>
    <w:rsid w:val="1BA75FED"/>
    <w:rsid w:val="1BA80FB2"/>
    <w:rsid w:val="1BA84E74"/>
    <w:rsid w:val="1BAD248A"/>
    <w:rsid w:val="1BAF1D5E"/>
    <w:rsid w:val="1BB2184F"/>
    <w:rsid w:val="1BB235FD"/>
    <w:rsid w:val="1BB27AA1"/>
    <w:rsid w:val="1BB6133F"/>
    <w:rsid w:val="1BB630ED"/>
    <w:rsid w:val="1BB750B7"/>
    <w:rsid w:val="1BC3580A"/>
    <w:rsid w:val="1BC93A93"/>
    <w:rsid w:val="1BCA6B98"/>
    <w:rsid w:val="1BDB0DA5"/>
    <w:rsid w:val="1BDB3D17"/>
    <w:rsid w:val="1BDB6FF7"/>
    <w:rsid w:val="1BE12CA9"/>
    <w:rsid w:val="1BEE6D2B"/>
    <w:rsid w:val="1BF27E9D"/>
    <w:rsid w:val="1BF34341"/>
    <w:rsid w:val="1BF6657B"/>
    <w:rsid w:val="1BFD0D1C"/>
    <w:rsid w:val="1BFE4A94"/>
    <w:rsid w:val="1BFF6DF6"/>
    <w:rsid w:val="1C02360F"/>
    <w:rsid w:val="1C057BD9"/>
    <w:rsid w:val="1C0E117B"/>
    <w:rsid w:val="1C0F2757"/>
    <w:rsid w:val="1C116575"/>
    <w:rsid w:val="1C136791"/>
    <w:rsid w:val="1C136E99"/>
    <w:rsid w:val="1C161DDD"/>
    <w:rsid w:val="1C1D6DF0"/>
    <w:rsid w:val="1C2838BF"/>
    <w:rsid w:val="1C2D0B81"/>
    <w:rsid w:val="1C2F2E9F"/>
    <w:rsid w:val="1C33298F"/>
    <w:rsid w:val="1C36422E"/>
    <w:rsid w:val="1C415AC5"/>
    <w:rsid w:val="1C4C1CA3"/>
    <w:rsid w:val="1C4E1C79"/>
    <w:rsid w:val="1C5446B4"/>
    <w:rsid w:val="1C5E7925"/>
    <w:rsid w:val="1C6012AB"/>
    <w:rsid w:val="1C7106F0"/>
    <w:rsid w:val="1C725D75"/>
    <w:rsid w:val="1C737230"/>
    <w:rsid w:val="1C746C75"/>
    <w:rsid w:val="1C765C9F"/>
    <w:rsid w:val="1C7A6810"/>
    <w:rsid w:val="1C901B90"/>
    <w:rsid w:val="1C93342E"/>
    <w:rsid w:val="1CA23671"/>
    <w:rsid w:val="1CA363A9"/>
    <w:rsid w:val="1CA76EDA"/>
    <w:rsid w:val="1CBA6C0D"/>
    <w:rsid w:val="1CBB4733"/>
    <w:rsid w:val="1CBD4883"/>
    <w:rsid w:val="1CC96E50"/>
    <w:rsid w:val="1CCD60EC"/>
    <w:rsid w:val="1CD203FA"/>
    <w:rsid w:val="1CD6156D"/>
    <w:rsid w:val="1CD6640E"/>
    <w:rsid w:val="1CD73ABD"/>
    <w:rsid w:val="1CD87093"/>
    <w:rsid w:val="1CDD0B4D"/>
    <w:rsid w:val="1CE819CC"/>
    <w:rsid w:val="1CF85987"/>
    <w:rsid w:val="1CFD070F"/>
    <w:rsid w:val="1D0936F0"/>
    <w:rsid w:val="1D0F1C35"/>
    <w:rsid w:val="1D187DD7"/>
    <w:rsid w:val="1D1C78C7"/>
    <w:rsid w:val="1D1E53EE"/>
    <w:rsid w:val="1D1F4CC2"/>
    <w:rsid w:val="1D2247B2"/>
    <w:rsid w:val="1D2D3883"/>
    <w:rsid w:val="1D2D45F5"/>
    <w:rsid w:val="1D385D84"/>
    <w:rsid w:val="1D3A7D4E"/>
    <w:rsid w:val="1D3E783E"/>
    <w:rsid w:val="1D412E8A"/>
    <w:rsid w:val="1D493F66"/>
    <w:rsid w:val="1D4F54BB"/>
    <w:rsid w:val="1D552DD9"/>
    <w:rsid w:val="1D5F6196"/>
    <w:rsid w:val="1D6132A5"/>
    <w:rsid w:val="1D6372A4"/>
    <w:rsid w:val="1D6B6159"/>
    <w:rsid w:val="1D6B7F07"/>
    <w:rsid w:val="1D6E17A5"/>
    <w:rsid w:val="1D7550AD"/>
    <w:rsid w:val="1D796AD2"/>
    <w:rsid w:val="1D835ABE"/>
    <w:rsid w:val="1D85546D"/>
    <w:rsid w:val="1D8E56D5"/>
    <w:rsid w:val="1D8F5B9A"/>
    <w:rsid w:val="1D9A07EC"/>
    <w:rsid w:val="1D9A1921"/>
    <w:rsid w:val="1DAA4ED3"/>
    <w:rsid w:val="1DAF4298"/>
    <w:rsid w:val="1DB7139E"/>
    <w:rsid w:val="1DC208A4"/>
    <w:rsid w:val="1DCB1624"/>
    <w:rsid w:val="1DCC2636"/>
    <w:rsid w:val="1DD26069"/>
    <w:rsid w:val="1DD57D5B"/>
    <w:rsid w:val="1DD9126A"/>
    <w:rsid w:val="1DD97567"/>
    <w:rsid w:val="1DE657E0"/>
    <w:rsid w:val="1DEC54EC"/>
    <w:rsid w:val="1DEF6D8A"/>
    <w:rsid w:val="1DF148B0"/>
    <w:rsid w:val="1DF3687A"/>
    <w:rsid w:val="1DF56A5E"/>
    <w:rsid w:val="1DF60118"/>
    <w:rsid w:val="1DF92FB2"/>
    <w:rsid w:val="1E045DCF"/>
    <w:rsid w:val="1E083917"/>
    <w:rsid w:val="1E0D24CF"/>
    <w:rsid w:val="1E0F2F88"/>
    <w:rsid w:val="1E0F3370"/>
    <w:rsid w:val="1E192F6A"/>
    <w:rsid w:val="1E1C7453"/>
    <w:rsid w:val="1E214A6A"/>
    <w:rsid w:val="1E236A34"/>
    <w:rsid w:val="1E27593E"/>
    <w:rsid w:val="1E2A5821"/>
    <w:rsid w:val="1E341299"/>
    <w:rsid w:val="1E35738B"/>
    <w:rsid w:val="1E366767"/>
    <w:rsid w:val="1E377157"/>
    <w:rsid w:val="1E3E450B"/>
    <w:rsid w:val="1E4A0464"/>
    <w:rsid w:val="1E522E75"/>
    <w:rsid w:val="1E5249DA"/>
    <w:rsid w:val="1E556CA9"/>
    <w:rsid w:val="1E5866DD"/>
    <w:rsid w:val="1E635082"/>
    <w:rsid w:val="1E64411F"/>
    <w:rsid w:val="1E654407"/>
    <w:rsid w:val="1E682698"/>
    <w:rsid w:val="1E713795"/>
    <w:rsid w:val="1E734D0E"/>
    <w:rsid w:val="1E763007"/>
    <w:rsid w:val="1E7A43DA"/>
    <w:rsid w:val="1E7E153E"/>
    <w:rsid w:val="1E8611E5"/>
    <w:rsid w:val="1E876FC3"/>
    <w:rsid w:val="1E890F8D"/>
    <w:rsid w:val="1E8A0B5C"/>
    <w:rsid w:val="1E90328D"/>
    <w:rsid w:val="1E917E41"/>
    <w:rsid w:val="1E9516DF"/>
    <w:rsid w:val="1E9A3B4A"/>
    <w:rsid w:val="1E9B2A6E"/>
    <w:rsid w:val="1EA336D1"/>
    <w:rsid w:val="1EAF2075"/>
    <w:rsid w:val="1EAF7B13"/>
    <w:rsid w:val="1EDC6562"/>
    <w:rsid w:val="1EE23B6F"/>
    <w:rsid w:val="1EE240FA"/>
    <w:rsid w:val="1EE6018D"/>
    <w:rsid w:val="1EE95587"/>
    <w:rsid w:val="1EF429FD"/>
    <w:rsid w:val="1EF8106D"/>
    <w:rsid w:val="1EFC175F"/>
    <w:rsid w:val="1EFE0C4B"/>
    <w:rsid w:val="1EFE1EA7"/>
    <w:rsid w:val="1F0423C1"/>
    <w:rsid w:val="1F0C74C8"/>
    <w:rsid w:val="1F11426E"/>
    <w:rsid w:val="1F136AA8"/>
    <w:rsid w:val="1F160261"/>
    <w:rsid w:val="1F1F71FB"/>
    <w:rsid w:val="1F2111C5"/>
    <w:rsid w:val="1F2B3DF2"/>
    <w:rsid w:val="1F2C538C"/>
    <w:rsid w:val="1F3367F7"/>
    <w:rsid w:val="1F394761"/>
    <w:rsid w:val="1F394DBF"/>
    <w:rsid w:val="1F3D1B10"/>
    <w:rsid w:val="1F422EEA"/>
    <w:rsid w:val="1F464788"/>
    <w:rsid w:val="1F552C1D"/>
    <w:rsid w:val="1F5570C1"/>
    <w:rsid w:val="1F5A5454"/>
    <w:rsid w:val="1F6D61B8"/>
    <w:rsid w:val="1F6E3CDF"/>
    <w:rsid w:val="1F784B5D"/>
    <w:rsid w:val="1F811C64"/>
    <w:rsid w:val="1F813A12"/>
    <w:rsid w:val="1F883AA8"/>
    <w:rsid w:val="1F890B18"/>
    <w:rsid w:val="1F8E612F"/>
    <w:rsid w:val="1F925C1F"/>
    <w:rsid w:val="1F974FE3"/>
    <w:rsid w:val="1F9F20EA"/>
    <w:rsid w:val="1FA37E2C"/>
    <w:rsid w:val="1FA503EC"/>
    <w:rsid w:val="1FAD0CAB"/>
    <w:rsid w:val="1FB2006F"/>
    <w:rsid w:val="1FBD2EE1"/>
    <w:rsid w:val="1FBE58BF"/>
    <w:rsid w:val="1FD37DBC"/>
    <w:rsid w:val="1FD47FE6"/>
    <w:rsid w:val="1FDE2C46"/>
    <w:rsid w:val="1FE7539E"/>
    <w:rsid w:val="1FF66FF0"/>
    <w:rsid w:val="200734A9"/>
    <w:rsid w:val="200C3C23"/>
    <w:rsid w:val="201523AC"/>
    <w:rsid w:val="201D23A3"/>
    <w:rsid w:val="201E189C"/>
    <w:rsid w:val="201E5705"/>
    <w:rsid w:val="201F2A3B"/>
    <w:rsid w:val="2027280B"/>
    <w:rsid w:val="202E2120"/>
    <w:rsid w:val="20347628"/>
    <w:rsid w:val="20390790"/>
    <w:rsid w:val="203C3502"/>
    <w:rsid w:val="204038CD"/>
    <w:rsid w:val="204213F3"/>
    <w:rsid w:val="204507CA"/>
    <w:rsid w:val="205B4263"/>
    <w:rsid w:val="20671BE0"/>
    <w:rsid w:val="206C5356"/>
    <w:rsid w:val="20745325"/>
    <w:rsid w:val="20782F99"/>
    <w:rsid w:val="207900E6"/>
    <w:rsid w:val="207B4905"/>
    <w:rsid w:val="207D067D"/>
    <w:rsid w:val="207D4DD2"/>
    <w:rsid w:val="20827A42"/>
    <w:rsid w:val="208F010F"/>
    <w:rsid w:val="208F53EE"/>
    <w:rsid w:val="2096173F"/>
    <w:rsid w:val="20963CB8"/>
    <w:rsid w:val="20994D8B"/>
    <w:rsid w:val="20A25CDF"/>
    <w:rsid w:val="20A50C14"/>
    <w:rsid w:val="20A57BD4"/>
    <w:rsid w:val="20A7251B"/>
    <w:rsid w:val="20A81A1B"/>
    <w:rsid w:val="20A9291C"/>
    <w:rsid w:val="20B07FB6"/>
    <w:rsid w:val="20B646FB"/>
    <w:rsid w:val="20B70662"/>
    <w:rsid w:val="20B708CF"/>
    <w:rsid w:val="20C4005A"/>
    <w:rsid w:val="20D14525"/>
    <w:rsid w:val="20DA0A53"/>
    <w:rsid w:val="20DB53A4"/>
    <w:rsid w:val="20DE6C42"/>
    <w:rsid w:val="20E2444F"/>
    <w:rsid w:val="20F052F3"/>
    <w:rsid w:val="20F40B11"/>
    <w:rsid w:val="20F52909"/>
    <w:rsid w:val="20F611CC"/>
    <w:rsid w:val="21073E91"/>
    <w:rsid w:val="210D16C9"/>
    <w:rsid w:val="211133EE"/>
    <w:rsid w:val="2116462E"/>
    <w:rsid w:val="21214FD7"/>
    <w:rsid w:val="2122040A"/>
    <w:rsid w:val="21233D21"/>
    <w:rsid w:val="21262AC3"/>
    <w:rsid w:val="212925B3"/>
    <w:rsid w:val="212E1977"/>
    <w:rsid w:val="21303322"/>
    <w:rsid w:val="21396920"/>
    <w:rsid w:val="213B74B1"/>
    <w:rsid w:val="214A4E6D"/>
    <w:rsid w:val="214B077B"/>
    <w:rsid w:val="2152653D"/>
    <w:rsid w:val="21542EA4"/>
    <w:rsid w:val="215A2310"/>
    <w:rsid w:val="215B0191"/>
    <w:rsid w:val="216655B5"/>
    <w:rsid w:val="217001E2"/>
    <w:rsid w:val="21731A80"/>
    <w:rsid w:val="217C6B87"/>
    <w:rsid w:val="21821CC3"/>
    <w:rsid w:val="218477E9"/>
    <w:rsid w:val="21957C48"/>
    <w:rsid w:val="219A525F"/>
    <w:rsid w:val="219A700D"/>
    <w:rsid w:val="219C0FD7"/>
    <w:rsid w:val="219E6555"/>
    <w:rsid w:val="21A41C3A"/>
    <w:rsid w:val="21AF0D0A"/>
    <w:rsid w:val="21B225A8"/>
    <w:rsid w:val="21B856E5"/>
    <w:rsid w:val="21BF6A73"/>
    <w:rsid w:val="21C407EC"/>
    <w:rsid w:val="21C42C76"/>
    <w:rsid w:val="21C81DCC"/>
    <w:rsid w:val="21CE6CB6"/>
    <w:rsid w:val="21D30A09"/>
    <w:rsid w:val="21DA38AD"/>
    <w:rsid w:val="21DA6A31"/>
    <w:rsid w:val="21DE318A"/>
    <w:rsid w:val="21DF2C72"/>
    <w:rsid w:val="21EA1D42"/>
    <w:rsid w:val="21EF5B80"/>
    <w:rsid w:val="21F20BF7"/>
    <w:rsid w:val="2209672C"/>
    <w:rsid w:val="22097CEF"/>
    <w:rsid w:val="22162B37"/>
    <w:rsid w:val="221B1EC0"/>
    <w:rsid w:val="221B56B0"/>
    <w:rsid w:val="221E7C3E"/>
    <w:rsid w:val="222608A0"/>
    <w:rsid w:val="222A4096"/>
    <w:rsid w:val="222B66B5"/>
    <w:rsid w:val="222D7E81"/>
    <w:rsid w:val="222F5E5B"/>
    <w:rsid w:val="2230760B"/>
    <w:rsid w:val="223808BD"/>
    <w:rsid w:val="22433200"/>
    <w:rsid w:val="224A0A33"/>
    <w:rsid w:val="224D6862"/>
    <w:rsid w:val="22576990"/>
    <w:rsid w:val="225862E9"/>
    <w:rsid w:val="225E44DE"/>
    <w:rsid w:val="2261736A"/>
    <w:rsid w:val="22737F8A"/>
    <w:rsid w:val="22765384"/>
    <w:rsid w:val="227F187C"/>
    <w:rsid w:val="2294396B"/>
    <w:rsid w:val="229B303C"/>
    <w:rsid w:val="229E2B2D"/>
    <w:rsid w:val="22A07E32"/>
    <w:rsid w:val="22A70329"/>
    <w:rsid w:val="22AE02BE"/>
    <w:rsid w:val="22B934C3"/>
    <w:rsid w:val="22C95DFC"/>
    <w:rsid w:val="22CA3922"/>
    <w:rsid w:val="22CF0F38"/>
    <w:rsid w:val="22D36C7A"/>
    <w:rsid w:val="22D402FC"/>
    <w:rsid w:val="22E20C6B"/>
    <w:rsid w:val="22E54766"/>
    <w:rsid w:val="22E56B78"/>
    <w:rsid w:val="22E76282"/>
    <w:rsid w:val="22EB3FC4"/>
    <w:rsid w:val="22F32800"/>
    <w:rsid w:val="22F47480"/>
    <w:rsid w:val="22FF181D"/>
    <w:rsid w:val="23040BE2"/>
    <w:rsid w:val="230971DF"/>
    <w:rsid w:val="230D5982"/>
    <w:rsid w:val="231734D0"/>
    <w:rsid w:val="23283B3B"/>
    <w:rsid w:val="232E3EB1"/>
    <w:rsid w:val="233314C7"/>
    <w:rsid w:val="2337408D"/>
    <w:rsid w:val="233A551A"/>
    <w:rsid w:val="2342795C"/>
    <w:rsid w:val="23492A98"/>
    <w:rsid w:val="234E4553"/>
    <w:rsid w:val="235356C5"/>
    <w:rsid w:val="235544C5"/>
    <w:rsid w:val="23563407"/>
    <w:rsid w:val="235A2EF8"/>
    <w:rsid w:val="236478D2"/>
    <w:rsid w:val="236C4EAD"/>
    <w:rsid w:val="236C6787"/>
    <w:rsid w:val="23713D9D"/>
    <w:rsid w:val="237C4C1C"/>
    <w:rsid w:val="237F64BA"/>
    <w:rsid w:val="23870928"/>
    <w:rsid w:val="238735C1"/>
    <w:rsid w:val="23977CA8"/>
    <w:rsid w:val="23983A20"/>
    <w:rsid w:val="2398757C"/>
    <w:rsid w:val="23A203FB"/>
    <w:rsid w:val="23AD1279"/>
    <w:rsid w:val="23B14AC1"/>
    <w:rsid w:val="23B52EF4"/>
    <w:rsid w:val="23B87C1E"/>
    <w:rsid w:val="23BA3996"/>
    <w:rsid w:val="23CD36CA"/>
    <w:rsid w:val="23D46034"/>
    <w:rsid w:val="23DB7146"/>
    <w:rsid w:val="23DC1B5F"/>
    <w:rsid w:val="23DC390D"/>
    <w:rsid w:val="23DD1433"/>
    <w:rsid w:val="23DE1C48"/>
    <w:rsid w:val="23E9602A"/>
    <w:rsid w:val="23ED13AB"/>
    <w:rsid w:val="23F70746"/>
    <w:rsid w:val="23F70B0A"/>
    <w:rsid w:val="240210CD"/>
    <w:rsid w:val="24022E3B"/>
    <w:rsid w:val="240B15E3"/>
    <w:rsid w:val="2412732E"/>
    <w:rsid w:val="241C63FF"/>
    <w:rsid w:val="2426102C"/>
    <w:rsid w:val="242B50E7"/>
    <w:rsid w:val="242E2942"/>
    <w:rsid w:val="243104B2"/>
    <w:rsid w:val="2435126F"/>
    <w:rsid w:val="24374FE7"/>
    <w:rsid w:val="24376D95"/>
    <w:rsid w:val="243A6885"/>
    <w:rsid w:val="243F7A37"/>
    <w:rsid w:val="24455956"/>
    <w:rsid w:val="24572F93"/>
    <w:rsid w:val="245A4C34"/>
    <w:rsid w:val="245A6E27"/>
    <w:rsid w:val="24696B33"/>
    <w:rsid w:val="246A716A"/>
    <w:rsid w:val="246D27B7"/>
    <w:rsid w:val="24700949"/>
    <w:rsid w:val="247973AD"/>
    <w:rsid w:val="24833D88"/>
    <w:rsid w:val="24853FA4"/>
    <w:rsid w:val="24855D52"/>
    <w:rsid w:val="24863878"/>
    <w:rsid w:val="248B078C"/>
    <w:rsid w:val="24945F95"/>
    <w:rsid w:val="24957DD5"/>
    <w:rsid w:val="249E5066"/>
    <w:rsid w:val="24A44981"/>
    <w:rsid w:val="24B6415E"/>
    <w:rsid w:val="24BC54EC"/>
    <w:rsid w:val="24BF09F7"/>
    <w:rsid w:val="24C148B0"/>
    <w:rsid w:val="24C70119"/>
    <w:rsid w:val="24C703B6"/>
    <w:rsid w:val="24D40A88"/>
    <w:rsid w:val="24D42AF4"/>
    <w:rsid w:val="24D64E3F"/>
    <w:rsid w:val="24D851B8"/>
    <w:rsid w:val="24D9609E"/>
    <w:rsid w:val="24E0742D"/>
    <w:rsid w:val="24E355E7"/>
    <w:rsid w:val="24E76A0D"/>
    <w:rsid w:val="24E91D73"/>
    <w:rsid w:val="24EA3E07"/>
    <w:rsid w:val="24EF3B86"/>
    <w:rsid w:val="24EF4971"/>
    <w:rsid w:val="24EF51FD"/>
    <w:rsid w:val="24F15196"/>
    <w:rsid w:val="24FE78B3"/>
    <w:rsid w:val="250C21D5"/>
    <w:rsid w:val="250D7AF6"/>
    <w:rsid w:val="251175E6"/>
    <w:rsid w:val="251315B0"/>
    <w:rsid w:val="2513335E"/>
    <w:rsid w:val="25140E84"/>
    <w:rsid w:val="251470D6"/>
    <w:rsid w:val="251473CA"/>
    <w:rsid w:val="251F61A7"/>
    <w:rsid w:val="252D53FE"/>
    <w:rsid w:val="252F3F10"/>
    <w:rsid w:val="25323D6A"/>
    <w:rsid w:val="253432D4"/>
    <w:rsid w:val="253D4FDD"/>
    <w:rsid w:val="25401C79"/>
    <w:rsid w:val="25445C0D"/>
    <w:rsid w:val="254C4759"/>
    <w:rsid w:val="255045B2"/>
    <w:rsid w:val="255B6D93"/>
    <w:rsid w:val="255F28FE"/>
    <w:rsid w:val="255F47F5"/>
    <w:rsid w:val="2569118E"/>
    <w:rsid w:val="25714529"/>
    <w:rsid w:val="25780CA3"/>
    <w:rsid w:val="257858B7"/>
    <w:rsid w:val="25791DCA"/>
    <w:rsid w:val="257A162F"/>
    <w:rsid w:val="258204E4"/>
    <w:rsid w:val="258778A8"/>
    <w:rsid w:val="25902C01"/>
    <w:rsid w:val="2590470E"/>
    <w:rsid w:val="259176DE"/>
    <w:rsid w:val="259721E1"/>
    <w:rsid w:val="259C77F7"/>
    <w:rsid w:val="25A8619C"/>
    <w:rsid w:val="25AC730F"/>
    <w:rsid w:val="25AE12D9"/>
    <w:rsid w:val="25B52667"/>
    <w:rsid w:val="25B6018D"/>
    <w:rsid w:val="25B82157"/>
    <w:rsid w:val="25BA1A2C"/>
    <w:rsid w:val="25D54AB7"/>
    <w:rsid w:val="25D7082F"/>
    <w:rsid w:val="25DA0320"/>
    <w:rsid w:val="25E23CF3"/>
    <w:rsid w:val="25E847EB"/>
    <w:rsid w:val="25EC2D81"/>
    <w:rsid w:val="25EF3E17"/>
    <w:rsid w:val="25F0544D"/>
    <w:rsid w:val="25F5515A"/>
    <w:rsid w:val="25FD1137"/>
    <w:rsid w:val="25FD3D9E"/>
    <w:rsid w:val="26001D5A"/>
    <w:rsid w:val="26061115"/>
    <w:rsid w:val="260809E9"/>
    <w:rsid w:val="260D5FFF"/>
    <w:rsid w:val="260E3B25"/>
    <w:rsid w:val="26103D41"/>
    <w:rsid w:val="261A55DA"/>
    <w:rsid w:val="261A696E"/>
    <w:rsid w:val="261D39BD"/>
    <w:rsid w:val="261E3BA2"/>
    <w:rsid w:val="261E645E"/>
    <w:rsid w:val="26217CFD"/>
    <w:rsid w:val="26306192"/>
    <w:rsid w:val="26307F40"/>
    <w:rsid w:val="26313084"/>
    <w:rsid w:val="26321C01"/>
    <w:rsid w:val="2635407F"/>
    <w:rsid w:val="263874D5"/>
    <w:rsid w:val="263A4862"/>
    <w:rsid w:val="263F0183"/>
    <w:rsid w:val="263F4518"/>
    <w:rsid w:val="26431A21"/>
    <w:rsid w:val="264A7253"/>
    <w:rsid w:val="264E03C6"/>
    <w:rsid w:val="264E434E"/>
    <w:rsid w:val="264E6DF1"/>
    <w:rsid w:val="2650064C"/>
    <w:rsid w:val="26527EB6"/>
    <w:rsid w:val="26551754"/>
    <w:rsid w:val="265A5438"/>
    <w:rsid w:val="265F36B1"/>
    <w:rsid w:val="26667E05"/>
    <w:rsid w:val="26674CD6"/>
    <w:rsid w:val="266A3E86"/>
    <w:rsid w:val="266B541C"/>
    <w:rsid w:val="266F6CBA"/>
    <w:rsid w:val="267047E0"/>
    <w:rsid w:val="267115C9"/>
    <w:rsid w:val="26774127"/>
    <w:rsid w:val="26797B39"/>
    <w:rsid w:val="267B6368"/>
    <w:rsid w:val="267F2426"/>
    <w:rsid w:val="267F67D1"/>
    <w:rsid w:val="2681079B"/>
    <w:rsid w:val="26881B2A"/>
    <w:rsid w:val="268D0EEE"/>
    <w:rsid w:val="26962499"/>
    <w:rsid w:val="26972C36"/>
    <w:rsid w:val="269B7AAF"/>
    <w:rsid w:val="269D701D"/>
    <w:rsid w:val="26A02529"/>
    <w:rsid w:val="26A34BB6"/>
    <w:rsid w:val="26AD1590"/>
    <w:rsid w:val="26AF355A"/>
    <w:rsid w:val="26C2328E"/>
    <w:rsid w:val="26C56794"/>
    <w:rsid w:val="26CA3EF0"/>
    <w:rsid w:val="26CD089C"/>
    <w:rsid w:val="26CD1C32"/>
    <w:rsid w:val="26DB60FD"/>
    <w:rsid w:val="26E1123A"/>
    <w:rsid w:val="26E34FB2"/>
    <w:rsid w:val="26E74AA2"/>
    <w:rsid w:val="26EA00EF"/>
    <w:rsid w:val="26EC030B"/>
    <w:rsid w:val="26EC151F"/>
    <w:rsid w:val="26EE7470"/>
    <w:rsid w:val="26FA42C1"/>
    <w:rsid w:val="27012F8B"/>
    <w:rsid w:val="27054F28"/>
    <w:rsid w:val="27147861"/>
    <w:rsid w:val="27206206"/>
    <w:rsid w:val="2725381D"/>
    <w:rsid w:val="272C64C1"/>
    <w:rsid w:val="273245C8"/>
    <w:rsid w:val="274243CE"/>
    <w:rsid w:val="27455C6D"/>
    <w:rsid w:val="2749750B"/>
    <w:rsid w:val="274C2B57"/>
    <w:rsid w:val="2753659C"/>
    <w:rsid w:val="27582E2F"/>
    <w:rsid w:val="275D6B12"/>
    <w:rsid w:val="2767173F"/>
    <w:rsid w:val="2769195B"/>
    <w:rsid w:val="277057A2"/>
    <w:rsid w:val="27750300"/>
    <w:rsid w:val="27765E26"/>
    <w:rsid w:val="277A7DF1"/>
    <w:rsid w:val="27802801"/>
    <w:rsid w:val="278E2DFF"/>
    <w:rsid w:val="2790513A"/>
    <w:rsid w:val="27906EE8"/>
    <w:rsid w:val="27910EB2"/>
    <w:rsid w:val="27A22094"/>
    <w:rsid w:val="27A97FAA"/>
    <w:rsid w:val="27B801ED"/>
    <w:rsid w:val="27BA4470"/>
    <w:rsid w:val="27BC5F2F"/>
    <w:rsid w:val="27C27B07"/>
    <w:rsid w:val="27C44DE4"/>
    <w:rsid w:val="27C70430"/>
    <w:rsid w:val="27C941A8"/>
    <w:rsid w:val="27CE5C62"/>
    <w:rsid w:val="27CF0E21"/>
    <w:rsid w:val="27D17500"/>
    <w:rsid w:val="27D52B4D"/>
    <w:rsid w:val="27DA63B5"/>
    <w:rsid w:val="27E430AC"/>
    <w:rsid w:val="27EE3C0E"/>
    <w:rsid w:val="27F21951"/>
    <w:rsid w:val="27F51441"/>
    <w:rsid w:val="27FF406E"/>
    <w:rsid w:val="28017DE6"/>
    <w:rsid w:val="28074CD0"/>
    <w:rsid w:val="280B47C0"/>
    <w:rsid w:val="280D0539"/>
    <w:rsid w:val="280E2503"/>
    <w:rsid w:val="280E605F"/>
    <w:rsid w:val="280F33FA"/>
    <w:rsid w:val="281318C7"/>
    <w:rsid w:val="28185301"/>
    <w:rsid w:val="281B601F"/>
    <w:rsid w:val="2826784C"/>
    <w:rsid w:val="28292197"/>
    <w:rsid w:val="2829733C"/>
    <w:rsid w:val="282C4737"/>
    <w:rsid w:val="2834214C"/>
    <w:rsid w:val="283871CA"/>
    <w:rsid w:val="28433F5A"/>
    <w:rsid w:val="2843479A"/>
    <w:rsid w:val="284657F9"/>
    <w:rsid w:val="285272AD"/>
    <w:rsid w:val="285579AF"/>
    <w:rsid w:val="285E0D94"/>
    <w:rsid w:val="286345FC"/>
    <w:rsid w:val="286372BA"/>
    <w:rsid w:val="28660F98"/>
    <w:rsid w:val="286914E7"/>
    <w:rsid w:val="28724E88"/>
    <w:rsid w:val="287700A8"/>
    <w:rsid w:val="28786771"/>
    <w:rsid w:val="287A1946"/>
    <w:rsid w:val="287C68E3"/>
    <w:rsid w:val="28810F26"/>
    <w:rsid w:val="288E0F4E"/>
    <w:rsid w:val="288E6299"/>
    <w:rsid w:val="28923FA8"/>
    <w:rsid w:val="28976286"/>
    <w:rsid w:val="28AB43E9"/>
    <w:rsid w:val="28B87EAE"/>
    <w:rsid w:val="28BB7438"/>
    <w:rsid w:val="28BC1F5F"/>
    <w:rsid w:val="28BC5ABB"/>
    <w:rsid w:val="28BE7A85"/>
    <w:rsid w:val="28C64EDF"/>
    <w:rsid w:val="28C66939"/>
    <w:rsid w:val="28CC03F4"/>
    <w:rsid w:val="28CF1C92"/>
    <w:rsid w:val="28DC615D"/>
    <w:rsid w:val="28E15521"/>
    <w:rsid w:val="28EF5E90"/>
    <w:rsid w:val="28F0440B"/>
    <w:rsid w:val="28F33BD2"/>
    <w:rsid w:val="28FD69FA"/>
    <w:rsid w:val="28FE280A"/>
    <w:rsid w:val="28FF4A5E"/>
    <w:rsid w:val="29020E7C"/>
    <w:rsid w:val="29030196"/>
    <w:rsid w:val="290578DE"/>
    <w:rsid w:val="290C07F0"/>
    <w:rsid w:val="291D43C7"/>
    <w:rsid w:val="29206EB8"/>
    <w:rsid w:val="292D27EB"/>
    <w:rsid w:val="293164A9"/>
    <w:rsid w:val="293711C1"/>
    <w:rsid w:val="293B10D5"/>
    <w:rsid w:val="29422123"/>
    <w:rsid w:val="29453D02"/>
    <w:rsid w:val="294A0B7A"/>
    <w:rsid w:val="295353FE"/>
    <w:rsid w:val="295403E9"/>
    <w:rsid w:val="29595666"/>
    <w:rsid w:val="29622B06"/>
    <w:rsid w:val="29673C78"/>
    <w:rsid w:val="29686BD3"/>
    <w:rsid w:val="296879F1"/>
    <w:rsid w:val="29693E94"/>
    <w:rsid w:val="296D5007"/>
    <w:rsid w:val="296F0D7F"/>
    <w:rsid w:val="296F2DDD"/>
    <w:rsid w:val="29734942"/>
    <w:rsid w:val="297840D8"/>
    <w:rsid w:val="29874881"/>
    <w:rsid w:val="298805BC"/>
    <w:rsid w:val="298B405B"/>
    <w:rsid w:val="298E38FB"/>
    <w:rsid w:val="29934A6D"/>
    <w:rsid w:val="29A24CB1"/>
    <w:rsid w:val="29A7286D"/>
    <w:rsid w:val="29B03FCC"/>
    <w:rsid w:val="29B35110"/>
    <w:rsid w:val="29B6075C"/>
    <w:rsid w:val="29C53F38"/>
    <w:rsid w:val="29CA3E37"/>
    <w:rsid w:val="29D05CC2"/>
    <w:rsid w:val="29DA08EE"/>
    <w:rsid w:val="29DB6414"/>
    <w:rsid w:val="29DF7CB3"/>
    <w:rsid w:val="29E277A3"/>
    <w:rsid w:val="29E325E0"/>
    <w:rsid w:val="29F42E68"/>
    <w:rsid w:val="2A043BBD"/>
    <w:rsid w:val="2A0E67EA"/>
    <w:rsid w:val="2A107348"/>
    <w:rsid w:val="2A174B84"/>
    <w:rsid w:val="2A1F09F7"/>
    <w:rsid w:val="2A2102CB"/>
    <w:rsid w:val="2A293624"/>
    <w:rsid w:val="2A2A1F8F"/>
    <w:rsid w:val="2A2E2822"/>
    <w:rsid w:val="2A314286"/>
    <w:rsid w:val="2A331DAD"/>
    <w:rsid w:val="2A3C3357"/>
    <w:rsid w:val="2A3E4394"/>
    <w:rsid w:val="2A452503"/>
    <w:rsid w:val="2A4824A2"/>
    <w:rsid w:val="2A4B491B"/>
    <w:rsid w:val="2A522B7B"/>
    <w:rsid w:val="2A5306A1"/>
    <w:rsid w:val="2A5A37DD"/>
    <w:rsid w:val="2A693A20"/>
    <w:rsid w:val="2A6E536A"/>
    <w:rsid w:val="2A7523C5"/>
    <w:rsid w:val="2A781EB5"/>
    <w:rsid w:val="2A794DC8"/>
    <w:rsid w:val="2A7E3970"/>
    <w:rsid w:val="2A832EC5"/>
    <w:rsid w:val="2A8A1EE1"/>
    <w:rsid w:val="2A8B1BE9"/>
    <w:rsid w:val="2A8E3487"/>
    <w:rsid w:val="2A905451"/>
    <w:rsid w:val="2A9E6EC2"/>
    <w:rsid w:val="2AA902C1"/>
    <w:rsid w:val="2AA93450"/>
    <w:rsid w:val="2AAE58D7"/>
    <w:rsid w:val="2AB13AC9"/>
    <w:rsid w:val="2AB70C30"/>
    <w:rsid w:val="2ABF7AE4"/>
    <w:rsid w:val="2AC33130"/>
    <w:rsid w:val="2AC54F59"/>
    <w:rsid w:val="2AC82E3D"/>
    <w:rsid w:val="2ACA2711"/>
    <w:rsid w:val="2ACF4CD1"/>
    <w:rsid w:val="2AD25A69"/>
    <w:rsid w:val="2AD410C5"/>
    <w:rsid w:val="2AD417E1"/>
    <w:rsid w:val="2AD43590"/>
    <w:rsid w:val="2AD508A4"/>
    <w:rsid w:val="2ADF3CE2"/>
    <w:rsid w:val="2AE05CC6"/>
    <w:rsid w:val="2AE15CAC"/>
    <w:rsid w:val="2AE35581"/>
    <w:rsid w:val="2AE36525"/>
    <w:rsid w:val="2AEA2DB3"/>
    <w:rsid w:val="2AF45B8C"/>
    <w:rsid w:val="2AF94DA4"/>
    <w:rsid w:val="2AFA28CA"/>
    <w:rsid w:val="2B035C23"/>
    <w:rsid w:val="2B0D6AA1"/>
    <w:rsid w:val="2B18474A"/>
    <w:rsid w:val="2B193698"/>
    <w:rsid w:val="2B204A27"/>
    <w:rsid w:val="2B2B6F28"/>
    <w:rsid w:val="2B3109E2"/>
    <w:rsid w:val="2B33475A"/>
    <w:rsid w:val="2B373B1E"/>
    <w:rsid w:val="2B4F0E68"/>
    <w:rsid w:val="2B522706"/>
    <w:rsid w:val="2B5972F5"/>
    <w:rsid w:val="2B620B9B"/>
    <w:rsid w:val="2B6346D1"/>
    <w:rsid w:val="2B675630"/>
    <w:rsid w:val="2B6768AF"/>
    <w:rsid w:val="2B7F1994"/>
    <w:rsid w:val="2B7F321F"/>
    <w:rsid w:val="2B807316"/>
    <w:rsid w:val="2B8149FB"/>
    <w:rsid w:val="2B8F544A"/>
    <w:rsid w:val="2B8F74B6"/>
    <w:rsid w:val="2B946BC1"/>
    <w:rsid w:val="2B980A61"/>
    <w:rsid w:val="2B9C771C"/>
    <w:rsid w:val="2BA411B4"/>
    <w:rsid w:val="2BA936A8"/>
    <w:rsid w:val="2BAA0794"/>
    <w:rsid w:val="2BAC1E16"/>
    <w:rsid w:val="2BB1567F"/>
    <w:rsid w:val="2BB941F1"/>
    <w:rsid w:val="2BC71F87"/>
    <w:rsid w:val="2BCC070B"/>
    <w:rsid w:val="2BD80E5D"/>
    <w:rsid w:val="2BDA2E28"/>
    <w:rsid w:val="2BEC66B7"/>
    <w:rsid w:val="2BEE68D3"/>
    <w:rsid w:val="2BF37A45"/>
    <w:rsid w:val="2BFD6B16"/>
    <w:rsid w:val="2BFE41CE"/>
    <w:rsid w:val="2C0003B4"/>
    <w:rsid w:val="2C002162"/>
    <w:rsid w:val="2C0B1233"/>
    <w:rsid w:val="2C1C6592"/>
    <w:rsid w:val="2C22657D"/>
    <w:rsid w:val="2C273B93"/>
    <w:rsid w:val="2C305287"/>
    <w:rsid w:val="2C315A5A"/>
    <w:rsid w:val="2C332538"/>
    <w:rsid w:val="2C3C4CA0"/>
    <w:rsid w:val="2C46226B"/>
    <w:rsid w:val="2C464019"/>
    <w:rsid w:val="2C471B3F"/>
    <w:rsid w:val="2C477D91"/>
    <w:rsid w:val="2C4B162F"/>
    <w:rsid w:val="2C4B1C25"/>
    <w:rsid w:val="2C500A11"/>
    <w:rsid w:val="2C520C10"/>
    <w:rsid w:val="2C5373DC"/>
    <w:rsid w:val="2C581F9E"/>
    <w:rsid w:val="2C5A1872"/>
    <w:rsid w:val="2C5A7AC4"/>
    <w:rsid w:val="2C5C383D"/>
    <w:rsid w:val="2C60493C"/>
    <w:rsid w:val="2C6E531E"/>
    <w:rsid w:val="2C77420D"/>
    <w:rsid w:val="2C82701B"/>
    <w:rsid w:val="2C884632"/>
    <w:rsid w:val="2C920655"/>
    <w:rsid w:val="2C970D19"/>
    <w:rsid w:val="2C973148"/>
    <w:rsid w:val="2CA90A4C"/>
    <w:rsid w:val="2CAB6572"/>
    <w:rsid w:val="2CAD1AA3"/>
    <w:rsid w:val="2CAD5E46"/>
    <w:rsid w:val="2CBE44F7"/>
    <w:rsid w:val="2CC55886"/>
    <w:rsid w:val="2CC6515A"/>
    <w:rsid w:val="2CC9092A"/>
    <w:rsid w:val="2CCD473A"/>
    <w:rsid w:val="2CD31625"/>
    <w:rsid w:val="2CD46729"/>
    <w:rsid w:val="2CE455E0"/>
    <w:rsid w:val="2CEB2E12"/>
    <w:rsid w:val="2CEE4AB3"/>
    <w:rsid w:val="2CF10EC7"/>
    <w:rsid w:val="2CF577ED"/>
    <w:rsid w:val="2CF73565"/>
    <w:rsid w:val="2D002EA7"/>
    <w:rsid w:val="2D042464"/>
    <w:rsid w:val="2D047400"/>
    <w:rsid w:val="2D055557"/>
    <w:rsid w:val="2D0839C4"/>
    <w:rsid w:val="2D085D13"/>
    <w:rsid w:val="2D152029"/>
    <w:rsid w:val="2D180861"/>
    <w:rsid w:val="2D1F758D"/>
    <w:rsid w:val="2D2325AC"/>
    <w:rsid w:val="2D256324"/>
    <w:rsid w:val="2D287BC3"/>
    <w:rsid w:val="2D297497"/>
    <w:rsid w:val="2D2D342B"/>
    <w:rsid w:val="2D3227EF"/>
    <w:rsid w:val="2D39592C"/>
    <w:rsid w:val="2D406CBA"/>
    <w:rsid w:val="2D456A7D"/>
    <w:rsid w:val="2D4A5D8B"/>
    <w:rsid w:val="2D4B63E2"/>
    <w:rsid w:val="2D4F6EFD"/>
    <w:rsid w:val="2D5C5ABE"/>
    <w:rsid w:val="2D5D02DF"/>
    <w:rsid w:val="2D600851"/>
    <w:rsid w:val="2D60735C"/>
    <w:rsid w:val="2D614E83"/>
    <w:rsid w:val="2D630BFB"/>
    <w:rsid w:val="2D662499"/>
    <w:rsid w:val="2D687FBF"/>
    <w:rsid w:val="2D691EC6"/>
    <w:rsid w:val="2D6A3C39"/>
    <w:rsid w:val="2D706CC1"/>
    <w:rsid w:val="2D79041E"/>
    <w:rsid w:val="2D7C3A6A"/>
    <w:rsid w:val="2D856DC3"/>
    <w:rsid w:val="2D983F2E"/>
    <w:rsid w:val="2D9C4F36"/>
    <w:rsid w:val="2D9E56F5"/>
    <w:rsid w:val="2D9F2329"/>
    <w:rsid w:val="2DA07759"/>
    <w:rsid w:val="2DA42713"/>
    <w:rsid w:val="2DB3533A"/>
    <w:rsid w:val="2DB5581A"/>
    <w:rsid w:val="2DBF0527"/>
    <w:rsid w:val="2DC45B3D"/>
    <w:rsid w:val="2DC53663"/>
    <w:rsid w:val="2DC55411"/>
    <w:rsid w:val="2DC93154"/>
    <w:rsid w:val="2DD1025A"/>
    <w:rsid w:val="2DDB2E87"/>
    <w:rsid w:val="2DE47F8D"/>
    <w:rsid w:val="2DED6716"/>
    <w:rsid w:val="2DEF06E0"/>
    <w:rsid w:val="2DF85E7D"/>
    <w:rsid w:val="2DFA568F"/>
    <w:rsid w:val="2DFE0923"/>
    <w:rsid w:val="2E0226E0"/>
    <w:rsid w:val="2E07434F"/>
    <w:rsid w:val="2E0A6052"/>
    <w:rsid w:val="2E110657"/>
    <w:rsid w:val="2E1A39AF"/>
    <w:rsid w:val="2E2465DC"/>
    <w:rsid w:val="2E2B796A"/>
    <w:rsid w:val="2E307C0F"/>
    <w:rsid w:val="2E3305CD"/>
    <w:rsid w:val="2E3A7BAD"/>
    <w:rsid w:val="2E3F395A"/>
    <w:rsid w:val="2E424CB4"/>
    <w:rsid w:val="2E4F38B8"/>
    <w:rsid w:val="2E5429BC"/>
    <w:rsid w:val="2E55425D"/>
    <w:rsid w:val="2E555DDF"/>
    <w:rsid w:val="2E617F64"/>
    <w:rsid w:val="2E644C2A"/>
    <w:rsid w:val="2E667F96"/>
    <w:rsid w:val="2E690493"/>
    <w:rsid w:val="2E6A0455"/>
    <w:rsid w:val="2E6A2A19"/>
    <w:rsid w:val="2E772BB0"/>
    <w:rsid w:val="2E7D090E"/>
    <w:rsid w:val="2E7D7A9A"/>
    <w:rsid w:val="2E80455C"/>
    <w:rsid w:val="2E8226AB"/>
    <w:rsid w:val="2E864BA1"/>
    <w:rsid w:val="2E8A1F61"/>
    <w:rsid w:val="2E8B0409"/>
    <w:rsid w:val="2E8E7D54"/>
    <w:rsid w:val="2E951288"/>
    <w:rsid w:val="2E9A689E"/>
    <w:rsid w:val="2E9C2EE0"/>
    <w:rsid w:val="2E9F3EB4"/>
    <w:rsid w:val="2EA96AE1"/>
    <w:rsid w:val="2EAB3F94"/>
    <w:rsid w:val="2EAE2349"/>
    <w:rsid w:val="2EB01C1E"/>
    <w:rsid w:val="2EB322DB"/>
    <w:rsid w:val="2EB37960"/>
    <w:rsid w:val="2EBC05C2"/>
    <w:rsid w:val="2EC13E2B"/>
    <w:rsid w:val="2EC658E5"/>
    <w:rsid w:val="2EC851B9"/>
    <w:rsid w:val="2ED40002"/>
    <w:rsid w:val="2ED7364E"/>
    <w:rsid w:val="2ED753FC"/>
    <w:rsid w:val="2ED81174"/>
    <w:rsid w:val="2EDC0C65"/>
    <w:rsid w:val="2EE144CD"/>
    <w:rsid w:val="2EE95130"/>
    <w:rsid w:val="2EEC5705"/>
    <w:rsid w:val="2EEE0998"/>
    <w:rsid w:val="2EEF67A6"/>
    <w:rsid w:val="2F00500B"/>
    <w:rsid w:val="2F0F103A"/>
    <w:rsid w:val="2F155F25"/>
    <w:rsid w:val="2F1C7B6E"/>
    <w:rsid w:val="2F25085E"/>
    <w:rsid w:val="2F307202"/>
    <w:rsid w:val="2F391C13"/>
    <w:rsid w:val="2F3960B7"/>
    <w:rsid w:val="2F495629"/>
    <w:rsid w:val="2F4D1B62"/>
    <w:rsid w:val="2F4F1437"/>
    <w:rsid w:val="2F544C9F"/>
    <w:rsid w:val="2F594288"/>
    <w:rsid w:val="2F5E167A"/>
    <w:rsid w:val="2F665C5F"/>
    <w:rsid w:val="2F6767FD"/>
    <w:rsid w:val="2F68699C"/>
    <w:rsid w:val="2F6B1FE9"/>
    <w:rsid w:val="2F6F3887"/>
    <w:rsid w:val="2F76515D"/>
    <w:rsid w:val="2F792957"/>
    <w:rsid w:val="2F7C41F6"/>
    <w:rsid w:val="2F8A2A02"/>
    <w:rsid w:val="2F8C54E6"/>
    <w:rsid w:val="2F8F217B"/>
    <w:rsid w:val="2F927575"/>
    <w:rsid w:val="2FC242FE"/>
    <w:rsid w:val="2FCB5B8A"/>
    <w:rsid w:val="2FCF4325"/>
    <w:rsid w:val="2FD065E6"/>
    <w:rsid w:val="2FD63906"/>
    <w:rsid w:val="2FD858D0"/>
    <w:rsid w:val="2FD96870"/>
    <w:rsid w:val="2FDB49F6"/>
    <w:rsid w:val="2FE06533"/>
    <w:rsid w:val="2FEC137B"/>
    <w:rsid w:val="2FEC5128"/>
    <w:rsid w:val="2FEF3CE3"/>
    <w:rsid w:val="2FF10740"/>
    <w:rsid w:val="2FF124EE"/>
    <w:rsid w:val="2FFB511A"/>
    <w:rsid w:val="30071D11"/>
    <w:rsid w:val="300B02B7"/>
    <w:rsid w:val="300E12F2"/>
    <w:rsid w:val="301937F3"/>
    <w:rsid w:val="30204B81"/>
    <w:rsid w:val="302428C3"/>
    <w:rsid w:val="302723B3"/>
    <w:rsid w:val="302A1EA4"/>
    <w:rsid w:val="302C79CA"/>
    <w:rsid w:val="302E0FC2"/>
    <w:rsid w:val="30332B06"/>
    <w:rsid w:val="30346152"/>
    <w:rsid w:val="303D4D39"/>
    <w:rsid w:val="303F3688"/>
    <w:rsid w:val="30413836"/>
    <w:rsid w:val="3044515D"/>
    <w:rsid w:val="30446AC1"/>
    <w:rsid w:val="304940D8"/>
    <w:rsid w:val="30550C17"/>
    <w:rsid w:val="30580BC9"/>
    <w:rsid w:val="305E56A9"/>
    <w:rsid w:val="305F1B4D"/>
    <w:rsid w:val="305F716A"/>
    <w:rsid w:val="30617880"/>
    <w:rsid w:val="306310A3"/>
    <w:rsid w:val="306A22A0"/>
    <w:rsid w:val="306A35EB"/>
    <w:rsid w:val="306B6744"/>
    <w:rsid w:val="30717AD3"/>
    <w:rsid w:val="307355F9"/>
    <w:rsid w:val="30782C0F"/>
    <w:rsid w:val="307B4B7A"/>
    <w:rsid w:val="30822F82"/>
    <w:rsid w:val="30860A2B"/>
    <w:rsid w:val="308B46F0"/>
    <w:rsid w:val="309015AF"/>
    <w:rsid w:val="30946CE0"/>
    <w:rsid w:val="30962065"/>
    <w:rsid w:val="30A65659"/>
    <w:rsid w:val="30A74AA5"/>
    <w:rsid w:val="30A755BA"/>
    <w:rsid w:val="30AB6B41"/>
    <w:rsid w:val="30B31E99"/>
    <w:rsid w:val="30B579BF"/>
    <w:rsid w:val="30BA6D84"/>
    <w:rsid w:val="30C23E8A"/>
    <w:rsid w:val="30C85944"/>
    <w:rsid w:val="30CB10A4"/>
    <w:rsid w:val="30CD5E8E"/>
    <w:rsid w:val="30CE6CD3"/>
    <w:rsid w:val="30DC02E3"/>
    <w:rsid w:val="30DC4F4C"/>
    <w:rsid w:val="30E03E14"/>
    <w:rsid w:val="30E43E01"/>
    <w:rsid w:val="30E7145E"/>
    <w:rsid w:val="30E81B43"/>
    <w:rsid w:val="30EC0F07"/>
    <w:rsid w:val="30F06C49"/>
    <w:rsid w:val="30FA1876"/>
    <w:rsid w:val="30FB781C"/>
    <w:rsid w:val="3106021B"/>
    <w:rsid w:val="310836F8"/>
    <w:rsid w:val="31097D0B"/>
    <w:rsid w:val="310B75DF"/>
    <w:rsid w:val="311057A0"/>
    <w:rsid w:val="31112D00"/>
    <w:rsid w:val="31122E9F"/>
    <w:rsid w:val="31124E12"/>
    <w:rsid w:val="311E2ED7"/>
    <w:rsid w:val="31267093"/>
    <w:rsid w:val="312C6A15"/>
    <w:rsid w:val="31300B2E"/>
    <w:rsid w:val="3130226F"/>
    <w:rsid w:val="31314421"/>
    <w:rsid w:val="31344D88"/>
    <w:rsid w:val="313C1E8F"/>
    <w:rsid w:val="314C1435"/>
    <w:rsid w:val="3152520E"/>
    <w:rsid w:val="31554CFE"/>
    <w:rsid w:val="315619EE"/>
    <w:rsid w:val="31592A40"/>
    <w:rsid w:val="315947EF"/>
    <w:rsid w:val="315C42DF"/>
    <w:rsid w:val="315C449C"/>
    <w:rsid w:val="315F792B"/>
    <w:rsid w:val="316513E5"/>
    <w:rsid w:val="317038E6"/>
    <w:rsid w:val="31741982"/>
    <w:rsid w:val="31745184"/>
    <w:rsid w:val="317A6513"/>
    <w:rsid w:val="317B29B7"/>
    <w:rsid w:val="31825219"/>
    <w:rsid w:val="31857392"/>
    <w:rsid w:val="318D3FEB"/>
    <w:rsid w:val="319765A8"/>
    <w:rsid w:val="319E0453"/>
    <w:rsid w:val="31AB2AF5"/>
    <w:rsid w:val="31AB2B70"/>
    <w:rsid w:val="31B82709"/>
    <w:rsid w:val="31BC0566"/>
    <w:rsid w:val="31BE0AF5"/>
    <w:rsid w:val="31C0486E"/>
    <w:rsid w:val="31C61758"/>
    <w:rsid w:val="31CA56EC"/>
    <w:rsid w:val="31CA749A"/>
    <w:rsid w:val="31CF4AB1"/>
    <w:rsid w:val="31D05482"/>
    <w:rsid w:val="31D125D7"/>
    <w:rsid w:val="31D15FDC"/>
    <w:rsid w:val="31D2634F"/>
    <w:rsid w:val="31DB3455"/>
    <w:rsid w:val="31E7004C"/>
    <w:rsid w:val="31E80CC4"/>
    <w:rsid w:val="31E93133"/>
    <w:rsid w:val="31EA3699"/>
    <w:rsid w:val="31EC7411"/>
    <w:rsid w:val="31ED3189"/>
    <w:rsid w:val="31F462C5"/>
    <w:rsid w:val="31FB3AF8"/>
    <w:rsid w:val="31FD161E"/>
    <w:rsid w:val="32096681"/>
    <w:rsid w:val="32186458"/>
    <w:rsid w:val="32244C05"/>
    <w:rsid w:val="32382656"/>
    <w:rsid w:val="3239451A"/>
    <w:rsid w:val="323A4620"/>
    <w:rsid w:val="323B0659"/>
    <w:rsid w:val="323B2146"/>
    <w:rsid w:val="32400B34"/>
    <w:rsid w:val="324F3ED3"/>
    <w:rsid w:val="3255145A"/>
    <w:rsid w:val="32655415"/>
    <w:rsid w:val="327348EE"/>
    <w:rsid w:val="327D6CB3"/>
    <w:rsid w:val="32807B59"/>
    <w:rsid w:val="32851613"/>
    <w:rsid w:val="32867865"/>
    <w:rsid w:val="32887042"/>
    <w:rsid w:val="328E2276"/>
    <w:rsid w:val="329E6876"/>
    <w:rsid w:val="32A221C5"/>
    <w:rsid w:val="32A63A63"/>
    <w:rsid w:val="32AD05CA"/>
    <w:rsid w:val="32BB6DE3"/>
    <w:rsid w:val="32BE1E5F"/>
    <w:rsid w:val="32CB7E61"/>
    <w:rsid w:val="32CC0FF0"/>
    <w:rsid w:val="32CE3E63"/>
    <w:rsid w:val="32CE6B16"/>
    <w:rsid w:val="32D305D1"/>
    <w:rsid w:val="32E519D5"/>
    <w:rsid w:val="32E60304"/>
    <w:rsid w:val="32E75E2A"/>
    <w:rsid w:val="32E97A95"/>
    <w:rsid w:val="32F02F31"/>
    <w:rsid w:val="32F347CF"/>
    <w:rsid w:val="32F56799"/>
    <w:rsid w:val="32F87159"/>
    <w:rsid w:val="33030EB6"/>
    <w:rsid w:val="33093FF2"/>
    <w:rsid w:val="33095DA0"/>
    <w:rsid w:val="330B7D6A"/>
    <w:rsid w:val="33122EA7"/>
    <w:rsid w:val="3316226B"/>
    <w:rsid w:val="33174961"/>
    <w:rsid w:val="331C1F78"/>
    <w:rsid w:val="33230A8F"/>
    <w:rsid w:val="332D5F33"/>
    <w:rsid w:val="333015F2"/>
    <w:rsid w:val="33306B1F"/>
    <w:rsid w:val="333472C1"/>
    <w:rsid w:val="333C43C8"/>
    <w:rsid w:val="3341553A"/>
    <w:rsid w:val="33466FF4"/>
    <w:rsid w:val="3348457A"/>
    <w:rsid w:val="334B6320"/>
    <w:rsid w:val="33527747"/>
    <w:rsid w:val="33582884"/>
    <w:rsid w:val="33680D19"/>
    <w:rsid w:val="337D11B4"/>
    <w:rsid w:val="337E22EA"/>
    <w:rsid w:val="338F44F8"/>
    <w:rsid w:val="3390201E"/>
    <w:rsid w:val="33953AD8"/>
    <w:rsid w:val="339B7340"/>
    <w:rsid w:val="33A361F5"/>
    <w:rsid w:val="33A97DE9"/>
    <w:rsid w:val="33AE03F9"/>
    <w:rsid w:val="33BF2903"/>
    <w:rsid w:val="33C6077B"/>
    <w:rsid w:val="33C82E1F"/>
    <w:rsid w:val="33CB12A8"/>
    <w:rsid w:val="33D07227"/>
    <w:rsid w:val="33D22636"/>
    <w:rsid w:val="33D934D4"/>
    <w:rsid w:val="33DE0FDB"/>
    <w:rsid w:val="33ED56C2"/>
    <w:rsid w:val="33F775F6"/>
    <w:rsid w:val="33FC738B"/>
    <w:rsid w:val="33FE2F6A"/>
    <w:rsid w:val="33FE342B"/>
    <w:rsid w:val="34036C94"/>
    <w:rsid w:val="34050C5E"/>
    <w:rsid w:val="340E07E5"/>
    <w:rsid w:val="341042C3"/>
    <w:rsid w:val="34235BF7"/>
    <w:rsid w:val="34256C0A"/>
    <w:rsid w:val="3428494C"/>
    <w:rsid w:val="342875B0"/>
    <w:rsid w:val="343B642D"/>
    <w:rsid w:val="34403A44"/>
    <w:rsid w:val="34405134"/>
    <w:rsid w:val="34480B4A"/>
    <w:rsid w:val="344C4197"/>
    <w:rsid w:val="345D372E"/>
    <w:rsid w:val="346D235F"/>
    <w:rsid w:val="347914E6"/>
    <w:rsid w:val="347F27BE"/>
    <w:rsid w:val="34821D7D"/>
    <w:rsid w:val="348558FB"/>
    <w:rsid w:val="34871673"/>
    <w:rsid w:val="348778C5"/>
    <w:rsid w:val="348C0A37"/>
    <w:rsid w:val="348C4EDB"/>
    <w:rsid w:val="349667E8"/>
    <w:rsid w:val="34A42225"/>
    <w:rsid w:val="34AC732B"/>
    <w:rsid w:val="34AF3F03"/>
    <w:rsid w:val="34BA1A48"/>
    <w:rsid w:val="34C77CC1"/>
    <w:rsid w:val="34C957E7"/>
    <w:rsid w:val="34CB5A03"/>
    <w:rsid w:val="34CC4853"/>
    <w:rsid w:val="34CE72A2"/>
    <w:rsid w:val="34D426A1"/>
    <w:rsid w:val="34DD1293"/>
    <w:rsid w:val="34E24AFB"/>
    <w:rsid w:val="34E37753"/>
    <w:rsid w:val="34E97C37"/>
    <w:rsid w:val="34F32864"/>
    <w:rsid w:val="34F43DE1"/>
    <w:rsid w:val="34FF745B"/>
    <w:rsid w:val="350201A1"/>
    <w:rsid w:val="35040F15"/>
    <w:rsid w:val="350434E4"/>
    <w:rsid w:val="350905D5"/>
    <w:rsid w:val="35095F6B"/>
    <w:rsid w:val="350E221B"/>
    <w:rsid w:val="351728D5"/>
    <w:rsid w:val="3518051D"/>
    <w:rsid w:val="351D1FD7"/>
    <w:rsid w:val="352315D1"/>
    <w:rsid w:val="352B0250"/>
    <w:rsid w:val="353335A8"/>
    <w:rsid w:val="3538169B"/>
    <w:rsid w:val="35470E02"/>
    <w:rsid w:val="354C6A3A"/>
    <w:rsid w:val="35507AD8"/>
    <w:rsid w:val="3553678F"/>
    <w:rsid w:val="355429D0"/>
    <w:rsid w:val="355552CD"/>
    <w:rsid w:val="356D6ABA"/>
    <w:rsid w:val="356E2833"/>
    <w:rsid w:val="35725E7F"/>
    <w:rsid w:val="3575648C"/>
    <w:rsid w:val="3579545F"/>
    <w:rsid w:val="357C4F4F"/>
    <w:rsid w:val="35814314"/>
    <w:rsid w:val="35815A13"/>
    <w:rsid w:val="358A7B8A"/>
    <w:rsid w:val="358C5FA8"/>
    <w:rsid w:val="35994082"/>
    <w:rsid w:val="35A149B6"/>
    <w:rsid w:val="35A818A1"/>
    <w:rsid w:val="35AF70D3"/>
    <w:rsid w:val="35B93AAE"/>
    <w:rsid w:val="35BB5A78"/>
    <w:rsid w:val="35BC34A2"/>
    <w:rsid w:val="35BC359E"/>
    <w:rsid w:val="35C15DF1"/>
    <w:rsid w:val="35C53109"/>
    <w:rsid w:val="35D07049"/>
    <w:rsid w:val="35D703D8"/>
    <w:rsid w:val="35E548A3"/>
    <w:rsid w:val="35E87EEF"/>
    <w:rsid w:val="35F52F72"/>
    <w:rsid w:val="35FC1BEC"/>
    <w:rsid w:val="36074A7F"/>
    <w:rsid w:val="360B0081"/>
    <w:rsid w:val="36126984"/>
    <w:rsid w:val="36127662"/>
    <w:rsid w:val="36186C7D"/>
    <w:rsid w:val="361A4A7B"/>
    <w:rsid w:val="361E6007"/>
    <w:rsid w:val="361F010B"/>
    <w:rsid w:val="36275D58"/>
    <w:rsid w:val="36280C33"/>
    <w:rsid w:val="363037C3"/>
    <w:rsid w:val="36321AB2"/>
    <w:rsid w:val="36341386"/>
    <w:rsid w:val="363C0481"/>
    <w:rsid w:val="363E2205"/>
    <w:rsid w:val="363E7C9A"/>
    <w:rsid w:val="364A0BAA"/>
    <w:rsid w:val="3659703F"/>
    <w:rsid w:val="36597DB6"/>
    <w:rsid w:val="365D1989"/>
    <w:rsid w:val="365D73D8"/>
    <w:rsid w:val="365E4655"/>
    <w:rsid w:val="365E6403"/>
    <w:rsid w:val="366251C2"/>
    <w:rsid w:val="366854D4"/>
    <w:rsid w:val="366F6862"/>
    <w:rsid w:val="367B497F"/>
    <w:rsid w:val="3683176F"/>
    <w:rsid w:val="36883480"/>
    <w:rsid w:val="368A37D7"/>
    <w:rsid w:val="368F3AF4"/>
    <w:rsid w:val="36923549"/>
    <w:rsid w:val="36A209E6"/>
    <w:rsid w:val="36A4650C"/>
    <w:rsid w:val="36AB1465"/>
    <w:rsid w:val="36B14785"/>
    <w:rsid w:val="36B75FBF"/>
    <w:rsid w:val="36BD0C45"/>
    <w:rsid w:val="36BE6EA2"/>
    <w:rsid w:val="36C06A28"/>
    <w:rsid w:val="36C46BAE"/>
    <w:rsid w:val="36C50230"/>
    <w:rsid w:val="36C562BB"/>
    <w:rsid w:val="36C56D51"/>
    <w:rsid w:val="36C9054A"/>
    <w:rsid w:val="36CA1CEB"/>
    <w:rsid w:val="36D30B9F"/>
    <w:rsid w:val="36D36DF1"/>
    <w:rsid w:val="36DB5CA6"/>
    <w:rsid w:val="36DC53B7"/>
    <w:rsid w:val="36DD557A"/>
    <w:rsid w:val="36E0150E"/>
    <w:rsid w:val="36EE78BE"/>
    <w:rsid w:val="36F3251E"/>
    <w:rsid w:val="36FC06B2"/>
    <w:rsid w:val="370074BA"/>
    <w:rsid w:val="37040798"/>
    <w:rsid w:val="370E607B"/>
    <w:rsid w:val="370F76FD"/>
    <w:rsid w:val="371C0798"/>
    <w:rsid w:val="371F5B92"/>
    <w:rsid w:val="37207CD4"/>
    <w:rsid w:val="37333E6F"/>
    <w:rsid w:val="373405CE"/>
    <w:rsid w:val="373C4996"/>
    <w:rsid w:val="37405933"/>
    <w:rsid w:val="37425D25"/>
    <w:rsid w:val="37492C0F"/>
    <w:rsid w:val="374B2E2B"/>
    <w:rsid w:val="37585548"/>
    <w:rsid w:val="37607F59"/>
    <w:rsid w:val="37623CD1"/>
    <w:rsid w:val="376637C1"/>
    <w:rsid w:val="376E08C8"/>
    <w:rsid w:val="37705879"/>
    <w:rsid w:val="377E4FAF"/>
    <w:rsid w:val="3787198A"/>
    <w:rsid w:val="37941808"/>
    <w:rsid w:val="37955E55"/>
    <w:rsid w:val="379A790F"/>
    <w:rsid w:val="379D5AD8"/>
    <w:rsid w:val="379E11AD"/>
    <w:rsid w:val="37A60062"/>
    <w:rsid w:val="37AE6F16"/>
    <w:rsid w:val="37AF199A"/>
    <w:rsid w:val="37B5307D"/>
    <w:rsid w:val="37B95FE7"/>
    <w:rsid w:val="37BF7375"/>
    <w:rsid w:val="37C300DE"/>
    <w:rsid w:val="37C449D1"/>
    <w:rsid w:val="37CB7AC8"/>
    <w:rsid w:val="37CD55EE"/>
    <w:rsid w:val="37D51B1B"/>
    <w:rsid w:val="37D56B99"/>
    <w:rsid w:val="37D60D85"/>
    <w:rsid w:val="37D921E5"/>
    <w:rsid w:val="37DD4400"/>
    <w:rsid w:val="37E00298"/>
    <w:rsid w:val="37E33064"/>
    <w:rsid w:val="37E65D5A"/>
    <w:rsid w:val="37E8067A"/>
    <w:rsid w:val="37EB016A"/>
    <w:rsid w:val="37EE37B7"/>
    <w:rsid w:val="37F30DCD"/>
    <w:rsid w:val="37F4701F"/>
    <w:rsid w:val="37F94635"/>
    <w:rsid w:val="37FA215C"/>
    <w:rsid w:val="37FB65FF"/>
    <w:rsid w:val="37FE39FA"/>
    <w:rsid w:val="380134EA"/>
    <w:rsid w:val="38021C98"/>
    <w:rsid w:val="380500CD"/>
    <w:rsid w:val="38060B00"/>
    <w:rsid w:val="380A4A95"/>
    <w:rsid w:val="380B25BB"/>
    <w:rsid w:val="3814321D"/>
    <w:rsid w:val="38174ABC"/>
    <w:rsid w:val="38206066"/>
    <w:rsid w:val="3821593A"/>
    <w:rsid w:val="382A2A41"/>
    <w:rsid w:val="382B337A"/>
    <w:rsid w:val="38305B3C"/>
    <w:rsid w:val="38341B11"/>
    <w:rsid w:val="38451629"/>
    <w:rsid w:val="384653A1"/>
    <w:rsid w:val="38481119"/>
    <w:rsid w:val="384B29B7"/>
    <w:rsid w:val="384D4981"/>
    <w:rsid w:val="38500F2E"/>
    <w:rsid w:val="38514471"/>
    <w:rsid w:val="38571B5E"/>
    <w:rsid w:val="38591578"/>
    <w:rsid w:val="385D0BF9"/>
    <w:rsid w:val="386351D9"/>
    <w:rsid w:val="386817BB"/>
    <w:rsid w:val="386A5533"/>
    <w:rsid w:val="386D0B7F"/>
    <w:rsid w:val="38725D98"/>
    <w:rsid w:val="3879371F"/>
    <w:rsid w:val="387C0DC3"/>
    <w:rsid w:val="387D5266"/>
    <w:rsid w:val="387E285E"/>
    <w:rsid w:val="388471F3"/>
    <w:rsid w:val="38855B19"/>
    <w:rsid w:val="389425B0"/>
    <w:rsid w:val="38966762"/>
    <w:rsid w:val="38A04610"/>
    <w:rsid w:val="38A04AB1"/>
    <w:rsid w:val="38A10B77"/>
    <w:rsid w:val="38AC675B"/>
    <w:rsid w:val="38B302F9"/>
    <w:rsid w:val="38B8629F"/>
    <w:rsid w:val="38C70290"/>
    <w:rsid w:val="38C8225A"/>
    <w:rsid w:val="38CA5FD2"/>
    <w:rsid w:val="38CC58A6"/>
    <w:rsid w:val="38D155B2"/>
    <w:rsid w:val="38D26311"/>
    <w:rsid w:val="38D806EF"/>
    <w:rsid w:val="38E075A3"/>
    <w:rsid w:val="38E1342F"/>
    <w:rsid w:val="38E14637"/>
    <w:rsid w:val="38EC419A"/>
    <w:rsid w:val="38EC5F48"/>
    <w:rsid w:val="38F1129F"/>
    <w:rsid w:val="38F12CD3"/>
    <w:rsid w:val="38F94775"/>
    <w:rsid w:val="38FE5C7B"/>
    <w:rsid w:val="39016BDA"/>
    <w:rsid w:val="390B0AC4"/>
    <w:rsid w:val="390C2146"/>
    <w:rsid w:val="391536F1"/>
    <w:rsid w:val="391D25A6"/>
    <w:rsid w:val="39201212"/>
    <w:rsid w:val="39245D10"/>
    <w:rsid w:val="392751D2"/>
    <w:rsid w:val="39275624"/>
    <w:rsid w:val="392971ED"/>
    <w:rsid w:val="392A6A70"/>
    <w:rsid w:val="3930052B"/>
    <w:rsid w:val="39307A25"/>
    <w:rsid w:val="39325651"/>
    <w:rsid w:val="393A4F06"/>
    <w:rsid w:val="393F251C"/>
    <w:rsid w:val="39502F1F"/>
    <w:rsid w:val="3953211A"/>
    <w:rsid w:val="3958538C"/>
    <w:rsid w:val="395A55A8"/>
    <w:rsid w:val="395B30CE"/>
    <w:rsid w:val="395B4E7C"/>
    <w:rsid w:val="395C1320"/>
    <w:rsid w:val="39682C9F"/>
    <w:rsid w:val="39693A3D"/>
    <w:rsid w:val="39697599"/>
    <w:rsid w:val="39736669"/>
    <w:rsid w:val="39745863"/>
    <w:rsid w:val="39900FC9"/>
    <w:rsid w:val="39902D77"/>
    <w:rsid w:val="3995038E"/>
    <w:rsid w:val="39956A9A"/>
    <w:rsid w:val="399A1E48"/>
    <w:rsid w:val="399F745E"/>
    <w:rsid w:val="39B12CEE"/>
    <w:rsid w:val="39B20F40"/>
    <w:rsid w:val="39B50A30"/>
    <w:rsid w:val="39B90520"/>
    <w:rsid w:val="39BF540B"/>
    <w:rsid w:val="39C24EFB"/>
    <w:rsid w:val="39D0586A"/>
    <w:rsid w:val="39D215E2"/>
    <w:rsid w:val="39D6476D"/>
    <w:rsid w:val="39DE7F87"/>
    <w:rsid w:val="39F007D2"/>
    <w:rsid w:val="39F23A32"/>
    <w:rsid w:val="39F74554"/>
    <w:rsid w:val="3A045513"/>
    <w:rsid w:val="3A080B60"/>
    <w:rsid w:val="3A1219DE"/>
    <w:rsid w:val="3A127C30"/>
    <w:rsid w:val="3A223C5B"/>
    <w:rsid w:val="3A231E3E"/>
    <w:rsid w:val="3A2376A5"/>
    <w:rsid w:val="3A2F2590"/>
    <w:rsid w:val="3A376A61"/>
    <w:rsid w:val="3A3951BD"/>
    <w:rsid w:val="3A3F7467"/>
    <w:rsid w:val="3A4F2C33"/>
    <w:rsid w:val="3A591968"/>
    <w:rsid w:val="3A5D196B"/>
    <w:rsid w:val="3A614714"/>
    <w:rsid w:val="3A63223A"/>
    <w:rsid w:val="3A667F7C"/>
    <w:rsid w:val="3A6F5083"/>
    <w:rsid w:val="3A79380C"/>
    <w:rsid w:val="3A7B3A28"/>
    <w:rsid w:val="3A810912"/>
    <w:rsid w:val="3A830B2E"/>
    <w:rsid w:val="3A872856"/>
    <w:rsid w:val="3A88215A"/>
    <w:rsid w:val="3A887EF3"/>
    <w:rsid w:val="3A8A5A19"/>
    <w:rsid w:val="3A9F2B08"/>
    <w:rsid w:val="3AA24E5F"/>
    <w:rsid w:val="3AAB598F"/>
    <w:rsid w:val="3AB24938"/>
    <w:rsid w:val="3AB40CE8"/>
    <w:rsid w:val="3AB57BE2"/>
    <w:rsid w:val="3AB86552"/>
    <w:rsid w:val="3AB92933"/>
    <w:rsid w:val="3AB94550"/>
    <w:rsid w:val="3AC036F5"/>
    <w:rsid w:val="3AC727C9"/>
    <w:rsid w:val="3ACA050B"/>
    <w:rsid w:val="3ACB73BF"/>
    <w:rsid w:val="3AD273C0"/>
    <w:rsid w:val="3AD43138"/>
    <w:rsid w:val="3AD9074E"/>
    <w:rsid w:val="3ADA755A"/>
    <w:rsid w:val="3AE07D2F"/>
    <w:rsid w:val="3AE570F3"/>
    <w:rsid w:val="3AEF3ACE"/>
    <w:rsid w:val="3AEF7F72"/>
    <w:rsid w:val="3AF8453C"/>
    <w:rsid w:val="3AFD61EB"/>
    <w:rsid w:val="3B00217F"/>
    <w:rsid w:val="3B021CBF"/>
    <w:rsid w:val="3B073F58"/>
    <w:rsid w:val="3B1139DC"/>
    <w:rsid w:val="3B135A0E"/>
    <w:rsid w:val="3B140FB2"/>
    <w:rsid w:val="3B17568A"/>
    <w:rsid w:val="3B181276"/>
    <w:rsid w:val="3B196D9D"/>
    <w:rsid w:val="3B205806"/>
    <w:rsid w:val="3B245E6D"/>
    <w:rsid w:val="3B273268"/>
    <w:rsid w:val="3B2A2D58"/>
    <w:rsid w:val="3B31058A"/>
    <w:rsid w:val="3B3763D1"/>
    <w:rsid w:val="3B471B5C"/>
    <w:rsid w:val="3B4A51A8"/>
    <w:rsid w:val="3B4C7172"/>
    <w:rsid w:val="3B514788"/>
    <w:rsid w:val="3B556027"/>
    <w:rsid w:val="3B5878C5"/>
    <w:rsid w:val="3B69462C"/>
    <w:rsid w:val="3B6C3370"/>
    <w:rsid w:val="3B84690C"/>
    <w:rsid w:val="3B854432"/>
    <w:rsid w:val="3B862684"/>
    <w:rsid w:val="3B8C3A12"/>
    <w:rsid w:val="3B8E1539"/>
    <w:rsid w:val="3B9A612F"/>
    <w:rsid w:val="3BA448B8"/>
    <w:rsid w:val="3BA7084C"/>
    <w:rsid w:val="3BA945C4"/>
    <w:rsid w:val="3BB07701"/>
    <w:rsid w:val="3BB54D17"/>
    <w:rsid w:val="3BB56AC5"/>
    <w:rsid w:val="3BB6283D"/>
    <w:rsid w:val="3BBD3BCC"/>
    <w:rsid w:val="3BC431AC"/>
    <w:rsid w:val="3BC62A80"/>
    <w:rsid w:val="3BCB453B"/>
    <w:rsid w:val="3BD11425"/>
    <w:rsid w:val="3BD1469E"/>
    <w:rsid w:val="3BD66A3C"/>
    <w:rsid w:val="3BE455FD"/>
    <w:rsid w:val="3BE473AB"/>
    <w:rsid w:val="3BEB24E7"/>
    <w:rsid w:val="3BF05D4F"/>
    <w:rsid w:val="3BF13876"/>
    <w:rsid w:val="3BF55114"/>
    <w:rsid w:val="3BFA097C"/>
    <w:rsid w:val="3BFF41E4"/>
    <w:rsid w:val="3C096E11"/>
    <w:rsid w:val="3C0D6901"/>
    <w:rsid w:val="3C1732DC"/>
    <w:rsid w:val="3C1E3FFF"/>
    <w:rsid w:val="3C1F3252"/>
    <w:rsid w:val="3C261771"/>
    <w:rsid w:val="3C2D0D52"/>
    <w:rsid w:val="3C2F6E1E"/>
    <w:rsid w:val="3C30439E"/>
    <w:rsid w:val="3C4165AB"/>
    <w:rsid w:val="3C495460"/>
    <w:rsid w:val="3C4B567C"/>
    <w:rsid w:val="3C4D13F4"/>
    <w:rsid w:val="3C4F64BA"/>
    <w:rsid w:val="3C544611"/>
    <w:rsid w:val="3C553E04"/>
    <w:rsid w:val="3C555AA8"/>
    <w:rsid w:val="3C5C1637"/>
    <w:rsid w:val="3C6B7ACC"/>
    <w:rsid w:val="3C7050E2"/>
    <w:rsid w:val="3C87702A"/>
    <w:rsid w:val="3C8A1D00"/>
    <w:rsid w:val="3C9506A5"/>
    <w:rsid w:val="3C9C2A6D"/>
    <w:rsid w:val="3C9C5ED7"/>
    <w:rsid w:val="3C9E39FD"/>
    <w:rsid w:val="3CA12853"/>
    <w:rsid w:val="3CA408E8"/>
    <w:rsid w:val="3CA5296A"/>
    <w:rsid w:val="3CAB3899"/>
    <w:rsid w:val="3CAF79B9"/>
    <w:rsid w:val="3CB11983"/>
    <w:rsid w:val="3CBA010B"/>
    <w:rsid w:val="3CC72F54"/>
    <w:rsid w:val="3CC74ACF"/>
    <w:rsid w:val="3CCB2319"/>
    <w:rsid w:val="3CD13DD3"/>
    <w:rsid w:val="3CD17828"/>
    <w:rsid w:val="3CD201AA"/>
    <w:rsid w:val="3CD236A7"/>
    <w:rsid w:val="3CD72449"/>
    <w:rsid w:val="3CD77CE5"/>
    <w:rsid w:val="3CDA0018"/>
    <w:rsid w:val="3CDA245A"/>
    <w:rsid w:val="3CDE3DFA"/>
    <w:rsid w:val="3CE138EA"/>
    <w:rsid w:val="3CE37662"/>
    <w:rsid w:val="3CE45730"/>
    <w:rsid w:val="3CF13D6E"/>
    <w:rsid w:val="3CF8730C"/>
    <w:rsid w:val="3CFB70E0"/>
    <w:rsid w:val="3D015D3A"/>
    <w:rsid w:val="3D05582A"/>
    <w:rsid w:val="3D09356D"/>
    <w:rsid w:val="3D0A1E14"/>
    <w:rsid w:val="3D0C4E0B"/>
    <w:rsid w:val="3D1E06B7"/>
    <w:rsid w:val="3D22626E"/>
    <w:rsid w:val="3D250427"/>
    <w:rsid w:val="3D2C7F68"/>
    <w:rsid w:val="3D3659E4"/>
    <w:rsid w:val="3D376F2F"/>
    <w:rsid w:val="3D3D2A3E"/>
    <w:rsid w:val="3D42172F"/>
    <w:rsid w:val="3D4F5B8C"/>
    <w:rsid w:val="3D581DFE"/>
    <w:rsid w:val="3D5D7415"/>
    <w:rsid w:val="3D6562C9"/>
    <w:rsid w:val="3D69400B"/>
    <w:rsid w:val="3D6C3AFB"/>
    <w:rsid w:val="3D74475E"/>
    <w:rsid w:val="3D762284"/>
    <w:rsid w:val="3D840E45"/>
    <w:rsid w:val="3D8A5CCB"/>
    <w:rsid w:val="3D931088"/>
    <w:rsid w:val="3DA70690"/>
    <w:rsid w:val="3DA95939"/>
    <w:rsid w:val="3DB1150E"/>
    <w:rsid w:val="3DB334D8"/>
    <w:rsid w:val="3DB42DAD"/>
    <w:rsid w:val="3DBA4867"/>
    <w:rsid w:val="3DBC05DF"/>
    <w:rsid w:val="3DC56D68"/>
    <w:rsid w:val="3DD35929"/>
    <w:rsid w:val="3DE43692"/>
    <w:rsid w:val="3DE521E8"/>
    <w:rsid w:val="3DE6565C"/>
    <w:rsid w:val="3DEC0798"/>
    <w:rsid w:val="3DF07813"/>
    <w:rsid w:val="3DF519EE"/>
    <w:rsid w:val="3DF80EEB"/>
    <w:rsid w:val="3DFA2EB5"/>
    <w:rsid w:val="3E021D6A"/>
    <w:rsid w:val="3E0930F8"/>
    <w:rsid w:val="3E100B61"/>
    <w:rsid w:val="3E173A67"/>
    <w:rsid w:val="3E211AA8"/>
    <w:rsid w:val="3E247F32"/>
    <w:rsid w:val="3E2554EA"/>
    <w:rsid w:val="3E3E4857"/>
    <w:rsid w:val="3E3E7246"/>
    <w:rsid w:val="3E432AAE"/>
    <w:rsid w:val="3E4E3201"/>
    <w:rsid w:val="3E5D0852"/>
    <w:rsid w:val="3E5F0D16"/>
    <w:rsid w:val="3E5F3BA2"/>
    <w:rsid w:val="3E614CE2"/>
    <w:rsid w:val="3E616FB8"/>
    <w:rsid w:val="3E636CAD"/>
    <w:rsid w:val="3E644EEE"/>
    <w:rsid w:val="3E667015"/>
    <w:rsid w:val="3E6A003B"/>
    <w:rsid w:val="3E6D3687"/>
    <w:rsid w:val="3E762CD2"/>
    <w:rsid w:val="3E7F160D"/>
    <w:rsid w:val="3E816F07"/>
    <w:rsid w:val="3E845132"/>
    <w:rsid w:val="3E88226F"/>
    <w:rsid w:val="3E8926E5"/>
    <w:rsid w:val="3E8B7FB1"/>
    <w:rsid w:val="3E976956"/>
    <w:rsid w:val="3E9D6712"/>
    <w:rsid w:val="3E9E0431"/>
    <w:rsid w:val="3EA03A5D"/>
    <w:rsid w:val="3EA33702"/>
    <w:rsid w:val="3EA92617"/>
    <w:rsid w:val="3EAD7F28"/>
    <w:rsid w:val="3EB837DF"/>
    <w:rsid w:val="3EBA43F3"/>
    <w:rsid w:val="3EBD586D"/>
    <w:rsid w:val="3EC15781"/>
    <w:rsid w:val="3EC7548D"/>
    <w:rsid w:val="3ECC2AA4"/>
    <w:rsid w:val="3ED2798E"/>
    <w:rsid w:val="3EDA0523"/>
    <w:rsid w:val="3EE53B65"/>
    <w:rsid w:val="3EEF22EE"/>
    <w:rsid w:val="3EF26282"/>
    <w:rsid w:val="3EF76BEA"/>
    <w:rsid w:val="3EFF3DAA"/>
    <w:rsid w:val="3F075C4A"/>
    <w:rsid w:val="3F0B4C4E"/>
    <w:rsid w:val="3F0F0BE2"/>
    <w:rsid w:val="3F101A72"/>
    <w:rsid w:val="3F116709"/>
    <w:rsid w:val="3F141D55"/>
    <w:rsid w:val="3F1D32FF"/>
    <w:rsid w:val="3F20390D"/>
    <w:rsid w:val="3F24318A"/>
    <w:rsid w:val="3F2D2E17"/>
    <w:rsid w:val="3F3E3276"/>
    <w:rsid w:val="3F3F0D2F"/>
    <w:rsid w:val="3F3F1C69"/>
    <w:rsid w:val="3F416A21"/>
    <w:rsid w:val="3F4C14EF"/>
    <w:rsid w:val="3F536D21"/>
    <w:rsid w:val="3F5D194E"/>
    <w:rsid w:val="3F5E1222"/>
    <w:rsid w:val="3F604F9A"/>
    <w:rsid w:val="3F615B53"/>
    <w:rsid w:val="3F634A8A"/>
    <w:rsid w:val="3F6E3381"/>
    <w:rsid w:val="3F6F51DD"/>
    <w:rsid w:val="3F886B79"/>
    <w:rsid w:val="3F890995"/>
    <w:rsid w:val="3F8E1520"/>
    <w:rsid w:val="3F95157A"/>
    <w:rsid w:val="3FA5340F"/>
    <w:rsid w:val="3FA70E1B"/>
    <w:rsid w:val="3FA72837"/>
    <w:rsid w:val="3FC13896"/>
    <w:rsid w:val="3FC25C55"/>
    <w:rsid w:val="3FC33BDC"/>
    <w:rsid w:val="3FCB7478"/>
    <w:rsid w:val="3FCD33AC"/>
    <w:rsid w:val="3FCE0156"/>
    <w:rsid w:val="3FCE45FA"/>
    <w:rsid w:val="3FD31C10"/>
    <w:rsid w:val="3FD57736"/>
    <w:rsid w:val="3FD6525C"/>
    <w:rsid w:val="3FD85478"/>
    <w:rsid w:val="3FDF2363"/>
    <w:rsid w:val="3FE23C01"/>
    <w:rsid w:val="3FE26F6C"/>
    <w:rsid w:val="3FE4326A"/>
    <w:rsid w:val="3FF73B50"/>
    <w:rsid w:val="3FF9512D"/>
    <w:rsid w:val="3FFA2F31"/>
    <w:rsid w:val="40063D93"/>
    <w:rsid w:val="40091EA7"/>
    <w:rsid w:val="40093884"/>
    <w:rsid w:val="400B2E65"/>
    <w:rsid w:val="400F7F20"/>
    <w:rsid w:val="401008FA"/>
    <w:rsid w:val="4016502D"/>
    <w:rsid w:val="4033445D"/>
    <w:rsid w:val="403408CD"/>
    <w:rsid w:val="40361E68"/>
    <w:rsid w:val="403E2FEC"/>
    <w:rsid w:val="403F7753"/>
    <w:rsid w:val="404A56AE"/>
    <w:rsid w:val="404F1B83"/>
    <w:rsid w:val="4050500F"/>
    <w:rsid w:val="4057725A"/>
    <w:rsid w:val="40577524"/>
    <w:rsid w:val="405C1C05"/>
    <w:rsid w:val="40644F5E"/>
    <w:rsid w:val="406B009A"/>
    <w:rsid w:val="406B3BF6"/>
    <w:rsid w:val="406E7B8B"/>
    <w:rsid w:val="407708B6"/>
    <w:rsid w:val="407A6407"/>
    <w:rsid w:val="407D1B7C"/>
    <w:rsid w:val="4081341A"/>
    <w:rsid w:val="4084115C"/>
    <w:rsid w:val="40865399"/>
    <w:rsid w:val="40925627"/>
    <w:rsid w:val="4093139F"/>
    <w:rsid w:val="409316FF"/>
    <w:rsid w:val="4093314D"/>
    <w:rsid w:val="409969B6"/>
    <w:rsid w:val="409C0254"/>
    <w:rsid w:val="40A4535A"/>
    <w:rsid w:val="40A62E81"/>
    <w:rsid w:val="40AB2395"/>
    <w:rsid w:val="40B732E0"/>
    <w:rsid w:val="40D0614F"/>
    <w:rsid w:val="40D33077"/>
    <w:rsid w:val="40DA7863"/>
    <w:rsid w:val="40DC2D46"/>
    <w:rsid w:val="40E33694"/>
    <w:rsid w:val="40E51BFB"/>
    <w:rsid w:val="40EF4827"/>
    <w:rsid w:val="40F53889"/>
    <w:rsid w:val="40F97454"/>
    <w:rsid w:val="40FF18BA"/>
    <w:rsid w:val="41032081"/>
    <w:rsid w:val="41061B71"/>
    <w:rsid w:val="411D1605"/>
    <w:rsid w:val="41242B72"/>
    <w:rsid w:val="41281AE7"/>
    <w:rsid w:val="41326106"/>
    <w:rsid w:val="41357819"/>
    <w:rsid w:val="413B4C25"/>
    <w:rsid w:val="41410DFB"/>
    <w:rsid w:val="41434B73"/>
    <w:rsid w:val="4145632C"/>
    <w:rsid w:val="414A4154"/>
    <w:rsid w:val="41517290"/>
    <w:rsid w:val="415648A7"/>
    <w:rsid w:val="415B15A7"/>
    <w:rsid w:val="41673933"/>
    <w:rsid w:val="416F3BBA"/>
    <w:rsid w:val="41727207"/>
    <w:rsid w:val="41760AA5"/>
    <w:rsid w:val="41847666"/>
    <w:rsid w:val="4185518C"/>
    <w:rsid w:val="419158DF"/>
    <w:rsid w:val="41923A23"/>
    <w:rsid w:val="419B3797"/>
    <w:rsid w:val="41A21103"/>
    <w:rsid w:val="41A225FB"/>
    <w:rsid w:val="41A27AEC"/>
    <w:rsid w:val="41AF3FB7"/>
    <w:rsid w:val="41B25855"/>
    <w:rsid w:val="41B504A8"/>
    <w:rsid w:val="41B61771"/>
    <w:rsid w:val="41BB0BAE"/>
    <w:rsid w:val="41BD66D4"/>
    <w:rsid w:val="41BE41FA"/>
    <w:rsid w:val="41C07F72"/>
    <w:rsid w:val="41C757A4"/>
    <w:rsid w:val="41C77096"/>
    <w:rsid w:val="41CE7F4B"/>
    <w:rsid w:val="41D70F57"/>
    <w:rsid w:val="41E27A8D"/>
    <w:rsid w:val="41E77BF5"/>
    <w:rsid w:val="41F36599"/>
    <w:rsid w:val="41F77652"/>
    <w:rsid w:val="41F93484"/>
    <w:rsid w:val="41FB544E"/>
    <w:rsid w:val="4200449D"/>
    <w:rsid w:val="42061226"/>
    <w:rsid w:val="4209423A"/>
    <w:rsid w:val="420A5691"/>
    <w:rsid w:val="420E539B"/>
    <w:rsid w:val="420F2CA7"/>
    <w:rsid w:val="421D7172"/>
    <w:rsid w:val="421F738E"/>
    <w:rsid w:val="422378A4"/>
    <w:rsid w:val="423009C2"/>
    <w:rsid w:val="42352655"/>
    <w:rsid w:val="42386B90"/>
    <w:rsid w:val="423A3BCC"/>
    <w:rsid w:val="423B3A9C"/>
    <w:rsid w:val="4249332A"/>
    <w:rsid w:val="424E57D2"/>
    <w:rsid w:val="425012F6"/>
    <w:rsid w:val="425270EF"/>
    <w:rsid w:val="42552DB0"/>
    <w:rsid w:val="42587DB2"/>
    <w:rsid w:val="425A6618"/>
    <w:rsid w:val="426605DB"/>
    <w:rsid w:val="42660B19"/>
    <w:rsid w:val="426E3E72"/>
    <w:rsid w:val="427174BE"/>
    <w:rsid w:val="42733236"/>
    <w:rsid w:val="4275742B"/>
    <w:rsid w:val="427923AD"/>
    <w:rsid w:val="427D03B1"/>
    <w:rsid w:val="427E2307"/>
    <w:rsid w:val="42876CE2"/>
    <w:rsid w:val="428A4033"/>
    <w:rsid w:val="428B0580"/>
    <w:rsid w:val="428D6406"/>
    <w:rsid w:val="42A1213C"/>
    <w:rsid w:val="42A33B1C"/>
    <w:rsid w:val="42A468C9"/>
    <w:rsid w:val="42A9321D"/>
    <w:rsid w:val="42AF7E42"/>
    <w:rsid w:val="42B2161E"/>
    <w:rsid w:val="42B23D5F"/>
    <w:rsid w:val="42B26C49"/>
    <w:rsid w:val="42C817D4"/>
    <w:rsid w:val="42CE66BF"/>
    <w:rsid w:val="42D24401"/>
    <w:rsid w:val="42D812EB"/>
    <w:rsid w:val="42E12896"/>
    <w:rsid w:val="42E45EE2"/>
    <w:rsid w:val="42F36125"/>
    <w:rsid w:val="43000F6E"/>
    <w:rsid w:val="430345BA"/>
    <w:rsid w:val="430622FC"/>
    <w:rsid w:val="430A5465"/>
    <w:rsid w:val="430D7573"/>
    <w:rsid w:val="43120CA1"/>
    <w:rsid w:val="43171E14"/>
    <w:rsid w:val="43195B8C"/>
    <w:rsid w:val="431E2374"/>
    <w:rsid w:val="43210C07"/>
    <w:rsid w:val="43284021"/>
    <w:rsid w:val="432D7889"/>
    <w:rsid w:val="433A6FE6"/>
    <w:rsid w:val="433B7F45"/>
    <w:rsid w:val="43417F56"/>
    <w:rsid w:val="43443180"/>
    <w:rsid w:val="4346152A"/>
    <w:rsid w:val="43480868"/>
    <w:rsid w:val="4350713C"/>
    <w:rsid w:val="435755E5"/>
    <w:rsid w:val="435C016E"/>
    <w:rsid w:val="43600C36"/>
    <w:rsid w:val="43664B49"/>
    <w:rsid w:val="436653E0"/>
    <w:rsid w:val="436B3E69"/>
    <w:rsid w:val="43754D8C"/>
    <w:rsid w:val="43761230"/>
    <w:rsid w:val="437B23A2"/>
    <w:rsid w:val="438C45B0"/>
    <w:rsid w:val="43996DA5"/>
    <w:rsid w:val="43AE09CA"/>
    <w:rsid w:val="43B12268"/>
    <w:rsid w:val="43B21B3C"/>
    <w:rsid w:val="43B35FE0"/>
    <w:rsid w:val="43B43B06"/>
    <w:rsid w:val="43B65AD0"/>
    <w:rsid w:val="43B92ECB"/>
    <w:rsid w:val="43BE6733"/>
    <w:rsid w:val="43C006FD"/>
    <w:rsid w:val="43C401ED"/>
    <w:rsid w:val="43C4431A"/>
    <w:rsid w:val="43CC46AC"/>
    <w:rsid w:val="43D146B8"/>
    <w:rsid w:val="43D85A47"/>
    <w:rsid w:val="43DD4E0B"/>
    <w:rsid w:val="43E048FB"/>
    <w:rsid w:val="43E837B0"/>
    <w:rsid w:val="43EE7018"/>
    <w:rsid w:val="43FE4D82"/>
    <w:rsid w:val="440B1130"/>
    <w:rsid w:val="441B3B85"/>
    <w:rsid w:val="441D16AC"/>
    <w:rsid w:val="44242A3A"/>
    <w:rsid w:val="44255D38"/>
    <w:rsid w:val="44282F7C"/>
    <w:rsid w:val="442944F4"/>
    <w:rsid w:val="442F025F"/>
    <w:rsid w:val="44390B29"/>
    <w:rsid w:val="443D58AA"/>
    <w:rsid w:val="444255B6"/>
    <w:rsid w:val="44484B2F"/>
    <w:rsid w:val="444C6475"/>
    <w:rsid w:val="444E272B"/>
    <w:rsid w:val="444E5D09"/>
    <w:rsid w:val="445243DA"/>
    <w:rsid w:val="44573C8E"/>
    <w:rsid w:val="445D5F4C"/>
    <w:rsid w:val="445E3FCC"/>
    <w:rsid w:val="445F7F16"/>
    <w:rsid w:val="44692B43"/>
    <w:rsid w:val="446E0B1C"/>
    <w:rsid w:val="446F427D"/>
    <w:rsid w:val="4470570D"/>
    <w:rsid w:val="447514E8"/>
    <w:rsid w:val="448E0A18"/>
    <w:rsid w:val="449556E6"/>
    <w:rsid w:val="4499769B"/>
    <w:rsid w:val="44A43B7B"/>
    <w:rsid w:val="44A45929"/>
    <w:rsid w:val="44B518E4"/>
    <w:rsid w:val="44B951CC"/>
    <w:rsid w:val="44BC7116"/>
    <w:rsid w:val="44C43788"/>
    <w:rsid w:val="44C61D43"/>
    <w:rsid w:val="44C85ABB"/>
    <w:rsid w:val="44CD14E0"/>
    <w:rsid w:val="44CE063D"/>
    <w:rsid w:val="44D0182C"/>
    <w:rsid w:val="44DE20FB"/>
    <w:rsid w:val="44DE52DF"/>
    <w:rsid w:val="44EE4DF6"/>
    <w:rsid w:val="44F06DC0"/>
    <w:rsid w:val="44F20B0B"/>
    <w:rsid w:val="44F71EFD"/>
    <w:rsid w:val="45091C30"/>
    <w:rsid w:val="450C3149"/>
    <w:rsid w:val="45142418"/>
    <w:rsid w:val="451900C5"/>
    <w:rsid w:val="45274CB7"/>
    <w:rsid w:val="452E1696"/>
    <w:rsid w:val="452E5F4C"/>
    <w:rsid w:val="4530540F"/>
    <w:rsid w:val="453279B7"/>
    <w:rsid w:val="45375398"/>
    <w:rsid w:val="45401825"/>
    <w:rsid w:val="454728B0"/>
    <w:rsid w:val="45482EA7"/>
    <w:rsid w:val="45505AB1"/>
    <w:rsid w:val="4550785F"/>
    <w:rsid w:val="455530C7"/>
    <w:rsid w:val="455B5D37"/>
    <w:rsid w:val="455B692F"/>
    <w:rsid w:val="45611A6C"/>
    <w:rsid w:val="45612018"/>
    <w:rsid w:val="45617CBE"/>
    <w:rsid w:val="45633A36"/>
    <w:rsid w:val="4565330A"/>
    <w:rsid w:val="456D0B46"/>
    <w:rsid w:val="4574179F"/>
    <w:rsid w:val="4574354D"/>
    <w:rsid w:val="45790E33"/>
    <w:rsid w:val="457B0D2C"/>
    <w:rsid w:val="457E261E"/>
    <w:rsid w:val="45830D1D"/>
    <w:rsid w:val="458319E2"/>
    <w:rsid w:val="458946E9"/>
    <w:rsid w:val="45A47C0E"/>
    <w:rsid w:val="45B20519"/>
    <w:rsid w:val="45C2075D"/>
    <w:rsid w:val="45C25D82"/>
    <w:rsid w:val="45CA5863"/>
    <w:rsid w:val="45CA7A30"/>
    <w:rsid w:val="45CC15DB"/>
    <w:rsid w:val="45CE6FAD"/>
    <w:rsid w:val="45D40794"/>
    <w:rsid w:val="45D43FEC"/>
    <w:rsid w:val="45D73ADC"/>
    <w:rsid w:val="45DC10F2"/>
    <w:rsid w:val="45FE618C"/>
    <w:rsid w:val="46021405"/>
    <w:rsid w:val="46050649"/>
    <w:rsid w:val="460808CD"/>
    <w:rsid w:val="460B72B5"/>
    <w:rsid w:val="460C5E7C"/>
    <w:rsid w:val="4615110A"/>
    <w:rsid w:val="461D3BE5"/>
    <w:rsid w:val="46256F3D"/>
    <w:rsid w:val="462E6C8B"/>
    <w:rsid w:val="46380A1F"/>
    <w:rsid w:val="46384F9D"/>
    <w:rsid w:val="46394A53"/>
    <w:rsid w:val="463B22BD"/>
    <w:rsid w:val="463E6292"/>
    <w:rsid w:val="464078D3"/>
    <w:rsid w:val="464173AF"/>
    <w:rsid w:val="4644057C"/>
    <w:rsid w:val="46445615"/>
    <w:rsid w:val="46576891"/>
    <w:rsid w:val="46577FD6"/>
    <w:rsid w:val="4665371A"/>
    <w:rsid w:val="46674E60"/>
    <w:rsid w:val="46687C2D"/>
    <w:rsid w:val="4669598C"/>
    <w:rsid w:val="466E4989"/>
    <w:rsid w:val="46755992"/>
    <w:rsid w:val="4681622F"/>
    <w:rsid w:val="46827EEC"/>
    <w:rsid w:val="46873754"/>
    <w:rsid w:val="468E60AE"/>
    <w:rsid w:val="469320F9"/>
    <w:rsid w:val="4693276B"/>
    <w:rsid w:val="46955E71"/>
    <w:rsid w:val="46965745"/>
    <w:rsid w:val="469A087A"/>
    <w:rsid w:val="469B2D5C"/>
    <w:rsid w:val="46AE0CE1"/>
    <w:rsid w:val="46AF722A"/>
    <w:rsid w:val="46B502C1"/>
    <w:rsid w:val="46BE559E"/>
    <w:rsid w:val="46C2619D"/>
    <w:rsid w:val="46CC1167"/>
    <w:rsid w:val="46CE4813"/>
    <w:rsid w:val="46D00713"/>
    <w:rsid w:val="46D03EC0"/>
    <w:rsid w:val="46D30747"/>
    <w:rsid w:val="46D955A7"/>
    <w:rsid w:val="46E70C57"/>
    <w:rsid w:val="46F210A5"/>
    <w:rsid w:val="46FA5CD4"/>
    <w:rsid w:val="46FF153C"/>
    <w:rsid w:val="470907F8"/>
    <w:rsid w:val="470A360A"/>
    <w:rsid w:val="470B4500"/>
    <w:rsid w:val="47133957"/>
    <w:rsid w:val="471A6376"/>
    <w:rsid w:val="471C5C4A"/>
    <w:rsid w:val="47242E3C"/>
    <w:rsid w:val="47290367"/>
    <w:rsid w:val="472E597E"/>
    <w:rsid w:val="472F4C5F"/>
    <w:rsid w:val="473A492C"/>
    <w:rsid w:val="473D3E13"/>
    <w:rsid w:val="4740402F"/>
    <w:rsid w:val="47473D34"/>
    <w:rsid w:val="474E6020"/>
    <w:rsid w:val="47525B10"/>
    <w:rsid w:val="475B79CD"/>
    <w:rsid w:val="475F1FDB"/>
    <w:rsid w:val="47604917"/>
    <w:rsid w:val="47631ACB"/>
    <w:rsid w:val="476B0980"/>
    <w:rsid w:val="476E453E"/>
    <w:rsid w:val="477C2B8D"/>
    <w:rsid w:val="4783216D"/>
    <w:rsid w:val="478706ED"/>
    <w:rsid w:val="47A07E0C"/>
    <w:rsid w:val="47AF44AD"/>
    <w:rsid w:val="47B265AF"/>
    <w:rsid w:val="47B57E4D"/>
    <w:rsid w:val="47B9793D"/>
    <w:rsid w:val="47C35B26"/>
    <w:rsid w:val="47CB141F"/>
    <w:rsid w:val="47CD3212"/>
    <w:rsid w:val="47F210A1"/>
    <w:rsid w:val="48013092"/>
    <w:rsid w:val="48015F32"/>
    <w:rsid w:val="48052B82"/>
    <w:rsid w:val="480706A9"/>
    <w:rsid w:val="48126A4D"/>
    <w:rsid w:val="48154701"/>
    <w:rsid w:val="48166B3E"/>
    <w:rsid w:val="481A7F92"/>
    <w:rsid w:val="48210C25"/>
    <w:rsid w:val="482631DC"/>
    <w:rsid w:val="482705EA"/>
    <w:rsid w:val="482755C1"/>
    <w:rsid w:val="482A5989"/>
    <w:rsid w:val="482B265C"/>
    <w:rsid w:val="48313978"/>
    <w:rsid w:val="483262E6"/>
    <w:rsid w:val="48360F8E"/>
    <w:rsid w:val="483B3434"/>
    <w:rsid w:val="484D0086"/>
    <w:rsid w:val="484F3DFE"/>
    <w:rsid w:val="485338EE"/>
    <w:rsid w:val="48541414"/>
    <w:rsid w:val="48607974"/>
    <w:rsid w:val="48613B12"/>
    <w:rsid w:val="48631C94"/>
    <w:rsid w:val="486949E5"/>
    <w:rsid w:val="486C2C02"/>
    <w:rsid w:val="486C78B4"/>
    <w:rsid w:val="486F26F2"/>
    <w:rsid w:val="486F624E"/>
    <w:rsid w:val="4870272E"/>
    <w:rsid w:val="48710218"/>
    <w:rsid w:val="48897310"/>
    <w:rsid w:val="48955BB2"/>
    <w:rsid w:val="48981C49"/>
    <w:rsid w:val="489C76DF"/>
    <w:rsid w:val="48A04659"/>
    <w:rsid w:val="48A57EC2"/>
    <w:rsid w:val="48AB372A"/>
    <w:rsid w:val="48BD345D"/>
    <w:rsid w:val="48C4659A"/>
    <w:rsid w:val="48CC18F2"/>
    <w:rsid w:val="48CC544E"/>
    <w:rsid w:val="48E12BD8"/>
    <w:rsid w:val="48E1714C"/>
    <w:rsid w:val="48E42798"/>
    <w:rsid w:val="48F5140F"/>
    <w:rsid w:val="48F549A5"/>
    <w:rsid w:val="48FA020D"/>
    <w:rsid w:val="49051838"/>
    <w:rsid w:val="49080B7C"/>
    <w:rsid w:val="490E2FDF"/>
    <w:rsid w:val="491017DF"/>
    <w:rsid w:val="49130E9E"/>
    <w:rsid w:val="49137521"/>
    <w:rsid w:val="491D3EFC"/>
    <w:rsid w:val="491D766A"/>
    <w:rsid w:val="49264273"/>
    <w:rsid w:val="492B03C7"/>
    <w:rsid w:val="492D2391"/>
    <w:rsid w:val="49301E81"/>
    <w:rsid w:val="49332AF4"/>
    <w:rsid w:val="49397347"/>
    <w:rsid w:val="493A685C"/>
    <w:rsid w:val="493C6A78"/>
    <w:rsid w:val="493F3E72"/>
    <w:rsid w:val="494476DB"/>
    <w:rsid w:val="4949661B"/>
    <w:rsid w:val="494B44F0"/>
    <w:rsid w:val="494D7F22"/>
    <w:rsid w:val="49535B70"/>
    <w:rsid w:val="49614F7A"/>
    <w:rsid w:val="496E6505"/>
    <w:rsid w:val="49725FF6"/>
    <w:rsid w:val="497C50C6"/>
    <w:rsid w:val="4981092F"/>
    <w:rsid w:val="49816239"/>
    <w:rsid w:val="49831FB1"/>
    <w:rsid w:val="49861AA1"/>
    <w:rsid w:val="498656E1"/>
    <w:rsid w:val="498D2E30"/>
    <w:rsid w:val="49956188"/>
    <w:rsid w:val="499917D4"/>
    <w:rsid w:val="499C12C5"/>
    <w:rsid w:val="49A168DB"/>
    <w:rsid w:val="49A671A2"/>
    <w:rsid w:val="49A8026C"/>
    <w:rsid w:val="49B04D70"/>
    <w:rsid w:val="49B1361C"/>
    <w:rsid w:val="49B361E0"/>
    <w:rsid w:val="49B4697B"/>
    <w:rsid w:val="49C425C9"/>
    <w:rsid w:val="49CC38CD"/>
    <w:rsid w:val="49D767A1"/>
    <w:rsid w:val="49DC7715"/>
    <w:rsid w:val="49E73F04"/>
    <w:rsid w:val="49E862B8"/>
    <w:rsid w:val="49EB7B56"/>
    <w:rsid w:val="49ED38CE"/>
    <w:rsid w:val="49F20EE5"/>
    <w:rsid w:val="49F54310"/>
    <w:rsid w:val="49FC7FB5"/>
    <w:rsid w:val="4A023139"/>
    <w:rsid w:val="4A064EEE"/>
    <w:rsid w:val="4A0A47B2"/>
    <w:rsid w:val="4A1775B4"/>
    <w:rsid w:val="4A1C41B3"/>
    <w:rsid w:val="4A286FFC"/>
    <w:rsid w:val="4A2D20CB"/>
    <w:rsid w:val="4A3239D7"/>
    <w:rsid w:val="4A331C29"/>
    <w:rsid w:val="4A372D9B"/>
    <w:rsid w:val="4A463AC2"/>
    <w:rsid w:val="4A4D18A8"/>
    <w:rsid w:val="4A4F27DB"/>
    <w:rsid w:val="4A5B2F2E"/>
    <w:rsid w:val="4A5C7D60"/>
    <w:rsid w:val="4A630B40"/>
    <w:rsid w:val="4A6F2535"/>
    <w:rsid w:val="4A7758CD"/>
    <w:rsid w:val="4A7B576F"/>
    <w:rsid w:val="4A835FE1"/>
    <w:rsid w:val="4A8A736F"/>
    <w:rsid w:val="4A8C1339"/>
    <w:rsid w:val="4A8E02D7"/>
    <w:rsid w:val="4A934476"/>
    <w:rsid w:val="4A9A5C89"/>
    <w:rsid w:val="4AA30431"/>
    <w:rsid w:val="4AA307CC"/>
    <w:rsid w:val="4AA71E0F"/>
    <w:rsid w:val="4AAC19DB"/>
    <w:rsid w:val="4AB36830"/>
    <w:rsid w:val="4AB53802"/>
    <w:rsid w:val="4AB64608"/>
    <w:rsid w:val="4ABB39CC"/>
    <w:rsid w:val="4AC565F9"/>
    <w:rsid w:val="4ACF7478"/>
    <w:rsid w:val="4AD00929"/>
    <w:rsid w:val="4AD131F0"/>
    <w:rsid w:val="4AD2185D"/>
    <w:rsid w:val="4AD8457E"/>
    <w:rsid w:val="4AD8632C"/>
    <w:rsid w:val="4AF561A9"/>
    <w:rsid w:val="4AF8077D"/>
    <w:rsid w:val="4AF85573"/>
    <w:rsid w:val="4B013AD5"/>
    <w:rsid w:val="4B016E8C"/>
    <w:rsid w:val="4B045373"/>
    <w:rsid w:val="4B063570"/>
    <w:rsid w:val="4B0709C0"/>
    <w:rsid w:val="4B072155"/>
    <w:rsid w:val="4B082B2F"/>
    <w:rsid w:val="4B1B4CBC"/>
    <w:rsid w:val="4B1E1EF3"/>
    <w:rsid w:val="4B241572"/>
    <w:rsid w:val="4B265FD1"/>
    <w:rsid w:val="4B281FD1"/>
    <w:rsid w:val="4B2E0642"/>
    <w:rsid w:val="4B3348D0"/>
    <w:rsid w:val="4B38326F"/>
    <w:rsid w:val="4B4439C2"/>
    <w:rsid w:val="4B4B4B6F"/>
    <w:rsid w:val="4B4B663A"/>
    <w:rsid w:val="4B4D15D7"/>
    <w:rsid w:val="4B4E4840"/>
    <w:rsid w:val="4B4E65EF"/>
    <w:rsid w:val="4B517E8D"/>
    <w:rsid w:val="4B5C59B3"/>
    <w:rsid w:val="4B5F6A4E"/>
    <w:rsid w:val="4B626FF1"/>
    <w:rsid w:val="4B6776B0"/>
    <w:rsid w:val="4B72052F"/>
    <w:rsid w:val="4B731856"/>
    <w:rsid w:val="4B75001F"/>
    <w:rsid w:val="4B771FE9"/>
    <w:rsid w:val="4B7D3E52"/>
    <w:rsid w:val="4B800B99"/>
    <w:rsid w:val="4B8B15F1"/>
    <w:rsid w:val="4B8D75D8"/>
    <w:rsid w:val="4B905EAF"/>
    <w:rsid w:val="4B9117C9"/>
    <w:rsid w:val="4B9F6D47"/>
    <w:rsid w:val="4BA206E8"/>
    <w:rsid w:val="4BA97CC9"/>
    <w:rsid w:val="4BB46D99"/>
    <w:rsid w:val="4BC15012"/>
    <w:rsid w:val="4BC36D77"/>
    <w:rsid w:val="4BD61317"/>
    <w:rsid w:val="4BE108CC"/>
    <w:rsid w:val="4BE1372E"/>
    <w:rsid w:val="4BE41A0E"/>
    <w:rsid w:val="4BE62CCB"/>
    <w:rsid w:val="4BE64A79"/>
    <w:rsid w:val="4BF278C2"/>
    <w:rsid w:val="4BF31991"/>
    <w:rsid w:val="4BF453E8"/>
    <w:rsid w:val="4BF54CBC"/>
    <w:rsid w:val="4BF7788F"/>
    <w:rsid w:val="4BF937FE"/>
    <w:rsid w:val="4BFA0524"/>
    <w:rsid w:val="4BFB6776"/>
    <w:rsid w:val="4BFC3701"/>
    <w:rsid w:val="4BFE1ECA"/>
    <w:rsid w:val="4C1415E6"/>
    <w:rsid w:val="4C1635B0"/>
    <w:rsid w:val="4C196BFC"/>
    <w:rsid w:val="4C2B14ED"/>
    <w:rsid w:val="4C3677AE"/>
    <w:rsid w:val="4C3752D5"/>
    <w:rsid w:val="4C39729F"/>
    <w:rsid w:val="4C3E2B07"/>
    <w:rsid w:val="4C457B74"/>
    <w:rsid w:val="4C465518"/>
    <w:rsid w:val="4C486B77"/>
    <w:rsid w:val="4C4A0649"/>
    <w:rsid w:val="4C4D68A6"/>
    <w:rsid w:val="4C5D11DF"/>
    <w:rsid w:val="4C5F70AB"/>
    <w:rsid w:val="4C6267F5"/>
    <w:rsid w:val="4C681932"/>
    <w:rsid w:val="4C6F4A6E"/>
    <w:rsid w:val="4C714C8A"/>
    <w:rsid w:val="4C7C6027"/>
    <w:rsid w:val="4C7D53DD"/>
    <w:rsid w:val="4C7E5ECA"/>
    <w:rsid w:val="4C876AA5"/>
    <w:rsid w:val="4C8C5620"/>
    <w:rsid w:val="4C8C6F39"/>
    <w:rsid w:val="4C8F1016"/>
    <w:rsid w:val="4C9646F1"/>
    <w:rsid w:val="4C96649F"/>
    <w:rsid w:val="4C975D73"/>
    <w:rsid w:val="4CA05F1B"/>
    <w:rsid w:val="4CA54934"/>
    <w:rsid w:val="4CBB196C"/>
    <w:rsid w:val="4CC0176E"/>
    <w:rsid w:val="4CC765D5"/>
    <w:rsid w:val="4CD4573E"/>
    <w:rsid w:val="4CD72670"/>
    <w:rsid w:val="4CD86AB8"/>
    <w:rsid w:val="4CDB0356"/>
    <w:rsid w:val="4CDB2104"/>
    <w:rsid w:val="4CEF5BAF"/>
    <w:rsid w:val="4CEF6349"/>
    <w:rsid w:val="4CF626D0"/>
    <w:rsid w:val="4D04165B"/>
    <w:rsid w:val="4D043409"/>
    <w:rsid w:val="4D0C49B3"/>
    <w:rsid w:val="4D0E00FB"/>
    <w:rsid w:val="4D176606"/>
    <w:rsid w:val="4D186EB4"/>
    <w:rsid w:val="4D1A2C2C"/>
    <w:rsid w:val="4D297313"/>
    <w:rsid w:val="4D2C0BB1"/>
    <w:rsid w:val="4D2C61E7"/>
    <w:rsid w:val="4D2F37DC"/>
    <w:rsid w:val="4D3017F6"/>
    <w:rsid w:val="4D3F08E5"/>
    <w:rsid w:val="4D491763"/>
    <w:rsid w:val="4D4952BF"/>
    <w:rsid w:val="4D4C3002"/>
    <w:rsid w:val="4D677E3B"/>
    <w:rsid w:val="4D693BB4"/>
    <w:rsid w:val="4D720CBA"/>
    <w:rsid w:val="4D7560B4"/>
    <w:rsid w:val="4D87403A"/>
    <w:rsid w:val="4D875DE8"/>
    <w:rsid w:val="4D8B3B2A"/>
    <w:rsid w:val="4D9826C4"/>
    <w:rsid w:val="4D9F3131"/>
    <w:rsid w:val="4DA0642B"/>
    <w:rsid w:val="4DA16EA9"/>
    <w:rsid w:val="4DA370C6"/>
    <w:rsid w:val="4DA5551D"/>
    <w:rsid w:val="4DA7581A"/>
    <w:rsid w:val="4DAA07D9"/>
    <w:rsid w:val="4DAD3AA0"/>
    <w:rsid w:val="4DAE5A6A"/>
    <w:rsid w:val="4DAF7AA5"/>
    <w:rsid w:val="4DB56DF9"/>
    <w:rsid w:val="4DB84D64"/>
    <w:rsid w:val="4DC15121"/>
    <w:rsid w:val="4DC31516"/>
    <w:rsid w:val="4DC80857"/>
    <w:rsid w:val="4DCD5EF0"/>
    <w:rsid w:val="4DD06A02"/>
    <w:rsid w:val="4DD52FF7"/>
    <w:rsid w:val="4DD54DA5"/>
    <w:rsid w:val="4DDC749A"/>
    <w:rsid w:val="4DDE00FE"/>
    <w:rsid w:val="4DDF5C24"/>
    <w:rsid w:val="4DE374C2"/>
    <w:rsid w:val="4DE60D60"/>
    <w:rsid w:val="4DE66FB2"/>
    <w:rsid w:val="4DEC4FB0"/>
    <w:rsid w:val="4DF27705"/>
    <w:rsid w:val="4DFE42FC"/>
    <w:rsid w:val="4E026D64"/>
    <w:rsid w:val="4E0302C9"/>
    <w:rsid w:val="4E067654"/>
    <w:rsid w:val="4E075D8A"/>
    <w:rsid w:val="4E0F475B"/>
    <w:rsid w:val="4E125FF9"/>
    <w:rsid w:val="4E1458CD"/>
    <w:rsid w:val="4E1B3100"/>
    <w:rsid w:val="4E1C6E78"/>
    <w:rsid w:val="4E1E499E"/>
    <w:rsid w:val="4E233B70"/>
    <w:rsid w:val="4E241889"/>
    <w:rsid w:val="4E261AA5"/>
    <w:rsid w:val="4E296E9F"/>
    <w:rsid w:val="4E345F70"/>
    <w:rsid w:val="4E387C11"/>
    <w:rsid w:val="4E3E61E3"/>
    <w:rsid w:val="4E465CA3"/>
    <w:rsid w:val="4E487C6D"/>
    <w:rsid w:val="4E4C709E"/>
    <w:rsid w:val="4E4F12F0"/>
    <w:rsid w:val="4E4F3CFF"/>
    <w:rsid w:val="4E577EB0"/>
    <w:rsid w:val="4E5A39E3"/>
    <w:rsid w:val="4E612ADD"/>
    <w:rsid w:val="4E6323B1"/>
    <w:rsid w:val="4E6B67CB"/>
    <w:rsid w:val="4E6D1482"/>
    <w:rsid w:val="4E704779"/>
    <w:rsid w:val="4E710F72"/>
    <w:rsid w:val="4E7147DF"/>
    <w:rsid w:val="4E724CEA"/>
    <w:rsid w:val="4E726F33"/>
    <w:rsid w:val="4E7520E4"/>
    <w:rsid w:val="4E807407"/>
    <w:rsid w:val="4E872543"/>
    <w:rsid w:val="4E880069"/>
    <w:rsid w:val="4E8C7B5A"/>
    <w:rsid w:val="4E8D5680"/>
    <w:rsid w:val="4E915D60"/>
    <w:rsid w:val="4E946A0E"/>
    <w:rsid w:val="4E9A2882"/>
    <w:rsid w:val="4E9E788D"/>
    <w:rsid w:val="4EA12ED9"/>
    <w:rsid w:val="4EAA7FE0"/>
    <w:rsid w:val="4EB3158A"/>
    <w:rsid w:val="4EBB3F9B"/>
    <w:rsid w:val="4EC00FAD"/>
    <w:rsid w:val="4EC07803"/>
    <w:rsid w:val="4EC217CD"/>
    <w:rsid w:val="4EDF7EB1"/>
    <w:rsid w:val="4EE221C8"/>
    <w:rsid w:val="4EEB73D6"/>
    <w:rsid w:val="4EF2068C"/>
    <w:rsid w:val="4EFA0F67"/>
    <w:rsid w:val="4EFB6A8D"/>
    <w:rsid w:val="4F035942"/>
    <w:rsid w:val="4F10078B"/>
    <w:rsid w:val="4F180F91"/>
    <w:rsid w:val="4F1964B0"/>
    <w:rsid w:val="4F1B2F57"/>
    <w:rsid w:val="4F2222AD"/>
    <w:rsid w:val="4F2902CC"/>
    <w:rsid w:val="4F2C57AC"/>
    <w:rsid w:val="4F2F11FB"/>
    <w:rsid w:val="4F300BB1"/>
    <w:rsid w:val="4F31120E"/>
    <w:rsid w:val="4F3302E1"/>
    <w:rsid w:val="4F344CB1"/>
    <w:rsid w:val="4F4421E2"/>
    <w:rsid w:val="4F4B17C3"/>
    <w:rsid w:val="4F50502B"/>
    <w:rsid w:val="4F624D5E"/>
    <w:rsid w:val="4F691C49"/>
    <w:rsid w:val="4F753C57"/>
    <w:rsid w:val="4F786330"/>
    <w:rsid w:val="4F7F146C"/>
    <w:rsid w:val="4F806F93"/>
    <w:rsid w:val="4F822D0B"/>
    <w:rsid w:val="4F860A4D"/>
    <w:rsid w:val="4F8627FB"/>
    <w:rsid w:val="4F8C7DB2"/>
    <w:rsid w:val="4F8D5C0A"/>
    <w:rsid w:val="4F93316A"/>
    <w:rsid w:val="4F934F18"/>
    <w:rsid w:val="4F943823"/>
    <w:rsid w:val="4F950BF1"/>
    <w:rsid w:val="4F9843DC"/>
    <w:rsid w:val="4F9B5B7A"/>
    <w:rsid w:val="4FA26F09"/>
    <w:rsid w:val="4FC62A8C"/>
    <w:rsid w:val="4FE20F0D"/>
    <w:rsid w:val="4FE37C4D"/>
    <w:rsid w:val="4FE51552"/>
    <w:rsid w:val="4FE65048"/>
    <w:rsid w:val="4FEB08B0"/>
    <w:rsid w:val="4FF359B6"/>
    <w:rsid w:val="50037B8F"/>
    <w:rsid w:val="500431E5"/>
    <w:rsid w:val="50100316"/>
    <w:rsid w:val="50116DFF"/>
    <w:rsid w:val="501716A5"/>
    <w:rsid w:val="501A2F43"/>
    <w:rsid w:val="501F0559"/>
    <w:rsid w:val="501F1F64"/>
    <w:rsid w:val="502344EE"/>
    <w:rsid w:val="50322B6F"/>
    <w:rsid w:val="503B1837"/>
    <w:rsid w:val="503C55AF"/>
    <w:rsid w:val="504104A3"/>
    <w:rsid w:val="50447FC0"/>
    <w:rsid w:val="50463D38"/>
    <w:rsid w:val="50504C4B"/>
    <w:rsid w:val="50506965"/>
    <w:rsid w:val="50632B3C"/>
    <w:rsid w:val="50680152"/>
    <w:rsid w:val="506A6A8B"/>
    <w:rsid w:val="50791DE9"/>
    <w:rsid w:val="50830AE8"/>
    <w:rsid w:val="509C6E7C"/>
    <w:rsid w:val="50A126B7"/>
    <w:rsid w:val="50A151B0"/>
    <w:rsid w:val="50A86E2E"/>
    <w:rsid w:val="50AB003F"/>
    <w:rsid w:val="50B769E4"/>
    <w:rsid w:val="50C11611"/>
    <w:rsid w:val="50C21573"/>
    <w:rsid w:val="50C3182D"/>
    <w:rsid w:val="50C7131D"/>
    <w:rsid w:val="50CF47A9"/>
    <w:rsid w:val="50D03E52"/>
    <w:rsid w:val="50D47596"/>
    <w:rsid w:val="50D92DFE"/>
    <w:rsid w:val="50DB6B76"/>
    <w:rsid w:val="50DD28EE"/>
    <w:rsid w:val="50DD7B00"/>
    <w:rsid w:val="50E0108A"/>
    <w:rsid w:val="50E33C7D"/>
    <w:rsid w:val="50EC10D6"/>
    <w:rsid w:val="50FB70EF"/>
    <w:rsid w:val="510559A1"/>
    <w:rsid w:val="510734C7"/>
    <w:rsid w:val="510936E3"/>
    <w:rsid w:val="5109750B"/>
    <w:rsid w:val="510C31D4"/>
    <w:rsid w:val="510E0CFA"/>
    <w:rsid w:val="511300BE"/>
    <w:rsid w:val="511D718F"/>
    <w:rsid w:val="511E4CB5"/>
    <w:rsid w:val="511F2F07"/>
    <w:rsid w:val="512A0AC6"/>
    <w:rsid w:val="512E314A"/>
    <w:rsid w:val="513332DD"/>
    <w:rsid w:val="513444D8"/>
    <w:rsid w:val="513577D0"/>
    <w:rsid w:val="51360251"/>
    <w:rsid w:val="514C537E"/>
    <w:rsid w:val="51556929"/>
    <w:rsid w:val="515661FD"/>
    <w:rsid w:val="515B7CB7"/>
    <w:rsid w:val="5162104E"/>
    <w:rsid w:val="51701D94"/>
    <w:rsid w:val="51750D79"/>
    <w:rsid w:val="51752B27"/>
    <w:rsid w:val="517811BD"/>
    <w:rsid w:val="517843C5"/>
    <w:rsid w:val="517A638F"/>
    <w:rsid w:val="517B5C63"/>
    <w:rsid w:val="517D772D"/>
    <w:rsid w:val="517F5754"/>
    <w:rsid w:val="51960CEF"/>
    <w:rsid w:val="51986815"/>
    <w:rsid w:val="519D2D48"/>
    <w:rsid w:val="51A0391C"/>
    <w:rsid w:val="51A0706A"/>
    <w:rsid w:val="51AA02F7"/>
    <w:rsid w:val="51AB479B"/>
    <w:rsid w:val="51AF590D"/>
    <w:rsid w:val="51B178D7"/>
    <w:rsid w:val="51CB6BEB"/>
    <w:rsid w:val="51D41141"/>
    <w:rsid w:val="51DE2050"/>
    <w:rsid w:val="51E83DA0"/>
    <w:rsid w:val="51FB0B52"/>
    <w:rsid w:val="51FD48CA"/>
    <w:rsid w:val="52075749"/>
    <w:rsid w:val="520F2674"/>
    <w:rsid w:val="52151C14"/>
    <w:rsid w:val="52157E66"/>
    <w:rsid w:val="521B795F"/>
    <w:rsid w:val="52232583"/>
    <w:rsid w:val="522462FB"/>
    <w:rsid w:val="522956BF"/>
    <w:rsid w:val="523D7714"/>
    <w:rsid w:val="523E73BD"/>
    <w:rsid w:val="52426781"/>
    <w:rsid w:val="5245652E"/>
    <w:rsid w:val="524746F8"/>
    <w:rsid w:val="525C5A95"/>
    <w:rsid w:val="526D2671"/>
    <w:rsid w:val="526F57C8"/>
    <w:rsid w:val="527038C3"/>
    <w:rsid w:val="527252B8"/>
    <w:rsid w:val="527E4D88"/>
    <w:rsid w:val="52854FEC"/>
    <w:rsid w:val="528C3333"/>
    <w:rsid w:val="528D5C4E"/>
    <w:rsid w:val="5293258F"/>
    <w:rsid w:val="52976BA9"/>
    <w:rsid w:val="52A80CDA"/>
    <w:rsid w:val="52AB1D28"/>
    <w:rsid w:val="52AD0048"/>
    <w:rsid w:val="52AD4542"/>
    <w:rsid w:val="52AF02BB"/>
    <w:rsid w:val="52B026BA"/>
    <w:rsid w:val="52B239FA"/>
    <w:rsid w:val="52B71D90"/>
    <w:rsid w:val="52C673B2"/>
    <w:rsid w:val="52CC01DF"/>
    <w:rsid w:val="52CD0741"/>
    <w:rsid w:val="52D23FA9"/>
    <w:rsid w:val="52D4387D"/>
    <w:rsid w:val="52D715BF"/>
    <w:rsid w:val="52E2243E"/>
    <w:rsid w:val="52E37F64"/>
    <w:rsid w:val="52E4406F"/>
    <w:rsid w:val="52E9540A"/>
    <w:rsid w:val="52EA0C77"/>
    <w:rsid w:val="52EF06B7"/>
    <w:rsid w:val="52F61A46"/>
    <w:rsid w:val="52FB705C"/>
    <w:rsid w:val="52FE08FA"/>
    <w:rsid w:val="53004672"/>
    <w:rsid w:val="530103EA"/>
    <w:rsid w:val="53073C53"/>
    <w:rsid w:val="530F2B07"/>
    <w:rsid w:val="53130849"/>
    <w:rsid w:val="5314011E"/>
    <w:rsid w:val="532742F5"/>
    <w:rsid w:val="532A610A"/>
    <w:rsid w:val="532E7431"/>
    <w:rsid w:val="533267F6"/>
    <w:rsid w:val="533F163E"/>
    <w:rsid w:val="534A1D91"/>
    <w:rsid w:val="535E75EB"/>
    <w:rsid w:val="53605111"/>
    <w:rsid w:val="536178A2"/>
    <w:rsid w:val="536C63F4"/>
    <w:rsid w:val="537868FE"/>
    <w:rsid w:val="537F5ABB"/>
    <w:rsid w:val="537F5EDF"/>
    <w:rsid w:val="53803A05"/>
    <w:rsid w:val="53852DC9"/>
    <w:rsid w:val="538E6122"/>
    <w:rsid w:val="539A5642"/>
    <w:rsid w:val="539D6365"/>
    <w:rsid w:val="53A039CC"/>
    <w:rsid w:val="53A1505A"/>
    <w:rsid w:val="53A36266"/>
    <w:rsid w:val="53A72D40"/>
    <w:rsid w:val="53A96AB8"/>
    <w:rsid w:val="53AC0356"/>
    <w:rsid w:val="53B50BFF"/>
    <w:rsid w:val="53B67427"/>
    <w:rsid w:val="53B813F1"/>
    <w:rsid w:val="53C11120"/>
    <w:rsid w:val="53C47D96"/>
    <w:rsid w:val="53C818C9"/>
    <w:rsid w:val="53DD0E57"/>
    <w:rsid w:val="53DD7C13"/>
    <w:rsid w:val="53DF24DA"/>
    <w:rsid w:val="53E11DCD"/>
    <w:rsid w:val="53E126F6"/>
    <w:rsid w:val="53E83463"/>
    <w:rsid w:val="53FA37B7"/>
    <w:rsid w:val="53FD6E04"/>
    <w:rsid w:val="54063E08"/>
    <w:rsid w:val="54065CB8"/>
    <w:rsid w:val="540B7773"/>
    <w:rsid w:val="54136627"/>
    <w:rsid w:val="541505F1"/>
    <w:rsid w:val="5415239F"/>
    <w:rsid w:val="54181E8F"/>
    <w:rsid w:val="54212AF2"/>
    <w:rsid w:val="54293CE5"/>
    <w:rsid w:val="54300F87"/>
    <w:rsid w:val="543437E8"/>
    <w:rsid w:val="543A0058"/>
    <w:rsid w:val="54436F0C"/>
    <w:rsid w:val="54462559"/>
    <w:rsid w:val="544669FD"/>
    <w:rsid w:val="544B5DC1"/>
    <w:rsid w:val="54505185"/>
    <w:rsid w:val="54521AE9"/>
    <w:rsid w:val="5452714F"/>
    <w:rsid w:val="54534C76"/>
    <w:rsid w:val="545F361A"/>
    <w:rsid w:val="546476F1"/>
    <w:rsid w:val="54662BFB"/>
    <w:rsid w:val="546D21DB"/>
    <w:rsid w:val="54752E3E"/>
    <w:rsid w:val="54882B71"/>
    <w:rsid w:val="548C6BB1"/>
    <w:rsid w:val="54900B0B"/>
    <w:rsid w:val="5498048B"/>
    <w:rsid w:val="549A4653"/>
    <w:rsid w:val="54A05118"/>
    <w:rsid w:val="54A454D1"/>
    <w:rsid w:val="54AF6350"/>
    <w:rsid w:val="54B25E40"/>
    <w:rsid w:val="54B35714"/>
    <w:rsid w:val="54B62810"/>
    <w:rsid w:val="54B716A8"/>
    <w:rsid w:val="54B762C9"/>
    <w:rsid w:val="54C94F38"/>
    <w:rsid w:val="54CB0CB0"/>
    <w:rsid w:val="54D062C6"/>
    <w:rsid w:val="54DA7145"/>
    <w:rsid w:val="54E0475B"/>
    <w:rsid w:val="54E35FFA"/>
    <w:rsid w:val="54E47D1B"/>
    <w:rsid w:val="54E87AB4"/>
    <w:rsid w:val="54F226E1"/>
    <w:rsid w:val="54F73313"/>
    <w:rsid w:val="54F75F49"/>
    <w:rsid w:val="54F80955"/>
    <w:rsid w:val="55006BAB"/>
    <w:rsid w:val="55012924"/>
    <w:rsid w:val="550A2D88"/>
    <w:rsid w:val="55124B31"/>
    <w:rsid w:val="55197C6D"/>
    <w:rsid w:val="551B6E3D"/>
    <w:rsid w:val="552F56E3"/>
    <w:rsid w:val="55326F81"/>
    <w:rsid w:val="5539030F"/>
    <w:rsid w:val="553B4087"/>
    <w:rsid w:val="553C53EB"/>
    <w:rsid w:val="553E5926"/>
    <w:rsid w:val="55404E47"/>
    <w:rsid w:val="55432F3C"/>
    <w:rsid w:val="554E3DBB"/>
    <w:rsid w:val="55510530"/>
    <w:rsid w:val="555170A7"/>
    <w:rsid w:val="55564A1D"/>
    <w:rsid w:val="556077FC"/>
    <w:rsid w:val="55627866"/>
    <w:rsid w:val="5569324E"/>
    <w:rsid w:val="556A04C9"/>
    <w:rsid w:val="556C4241"/>
    <w:rsid w:val="557A24ED"/>
    <w:rsid w:val="557B4484"/>
    <w:rsid w:val="557B5516"/>
    <w:rsid w:val="557D01FC"/>
    <w:rsid w:val="5587536D"/>
    <w:rsid w:val="55886BA1"/>
    <w:rsid w:val="558A2919"/>
    <w:rsid w:val="558C6691"/>
    <w:rsid w:val="558F1CDD"/>
    <w:rsid w:val="55945546"/>
    <w:rsid w:val="559519EA"/>
    <w:rsid w:val="559574DD"/>
    <w:rsid w:val="55983288"/>
    <w:rsid w:val="55986DE4"/>
    <w:rsid w:val="559B174B"/>
    <w:rsid w:val="55A52A39"/>
    <w:rsid w:val="55A82D9F"/>
    <w:rsid w:val="55AC3A0C"/>
    <w:rsid w:val="55B0748B"/>
    <w:rsid w:val="55B43F78"/>
    <w:rsid w:val="55BB6F76"/>
    <w:rsid w:val="55C37BD9"/>
    <w:rsid w:val="55C67DF5"/>
    <w:rsid w:val="55CE0CF4"/>
    <w:rsid w:val="55D122F6"/>
    <w:rsid w:val="55E51CC9"/>
    <w:rsid w:val="55E53FF3"/>
    <w:rsid w:val="55F36710"/>
    <w:rsid w:val="55FA184D"/>
    <w:rsid w:val="55FD0D5F"/>
    <w:rsid w:val="55FF3307"/>
    <w:rsid w:val="56076563"/>
    <w:rsid w:val="561546F9"/>
    <w:rsid w:val="561E6A0D"/>
    <w:rsid w:val="56226FF5"/>
    <w:rsid w:val="562C577E"/>
    <w:rsid w:val="562E21AD"/>
    <w:rsid w:val="56312D95"/>
    <w:rsid w:val="56322528"/>
    <w:rsid w:val="563539B4"/>
    <w:rsid w:val="56356D29"/>
    <w:rsid w:val="564B20A8"/>
    <w:rsid w:val="564E3947"/>
    <w:rsid w:val="565F3DA6"/>
    <w:rsid w:val="565F5B54"/>
    <w:rsid w:val="56680EAC"/>
    <w:rsid w:val="566D6E07"/>
    <w:rsid w:val="566E3FE9"/>
    <w:rsid w:val="566E5889"/>
    <w:rsid w:val="567107BF"/>
    <w:rsid w:val="56723AD9"/>
    <w:rsid w:val="56770AE3"/>
    <w:rsid w:val="567A0BDF"/>
    <w:rsid w:val="56905D0D"/>
    <w:rsid w:val="56927CD7"/>
    <w:rsid w:val="5697353F"/>
    <w:rsid w:val="569752EE"/>
    <w:rsid w:val="569A3030"/>
    <w:rsid w:val="569C6DA8"/>
    <w:rsid w:val="56A135C0"/>
    <w:rsid w:val="56AB6FEB"/>
    <w:rsid w:val="56AC09DC"/>
    <w:rsid w:val="56AF0889"/>
    <w:rsid w:val="56B22A9C"/>
    <w:rsid w:val="56B45E9F"/>
    <w:rsid w:val="56BC6B02"/>
    <w:rsid w:val="56BE6D1E"/>
    <w:rsid w:val="56CC5D09"/>
    <w:rsid w:val="56D4209E"/>
    <w:rsid w:val="56DA016C"/>
    <w:rsid w:val="56DB78D0"/>
    <w:rsid w:val="56DF15AE"/>
    <w:rsid w:val="56E16569"/>
    <w:rsid w:val="56E85B49"/>
    <w:rsid w:val="56E95231"/>
    <w:rsid w:val="56EF512A"/>
    <w:rsid w:val="56F02C50"/>
    <w:rsid w:val="56F269C8"/>
    <w:rsid w:val="56F45632"/>
    <w:rsid w:val="56FB4CB8"/>
    <w:rsid w:val="56FC33A3"/>
    <w:rsid w:val="570A713B"/>
    <w:rsid w:val="57127095"/>
    <w:rsid w:val="57167B59"/>
    <w:rsid w:val="57193F55"/>
    <w:rsid w:val="571C623F"/>
    <w:rsid w:val="572A7F10"/>
    <w:rsid w:val="572D5EB9"/>
    <w:rsid w:val="572F5526"/>
    <w:rsid w:val="57340D8E"/>
    <w:rsid w:val="573D370B"/>
    <w:rsid w:val="573E7E5F"/>
    <w:rsid w:val="573F7E85"/>
    <w:rsid w:val="57407733"/>
    <w:rsid w:val="574B7C88"/>
    <w:rsid w:val="575E405D"/>
    <w:rsid w:val="5765719A"/>
    <w:rsid w:val="576F1DC6"/>
    <w:rsid w:val="576F626A"/>
    <w:rsid w:val="577943F2"/>
    <w:rsid w:val="577B4C0F"/>
    <w:rsid w:val="577C54C6"/>
    <w:rsid w:val="578C0BCA"/>
    <w:rsid w:val="578E4942"/>
    <w:rsid w:val="57967CAC"/>
    <w:rsid w:val="579E79C6"/>
    <w:rsid w:val="57B03084"/>
    <w:rsid w:val="57B36157"/>
    <w:rsid w:val="57B72A76"/>
    <w:rsid w:val="57BB3877"/>
    <w:rsid w:val="57C14700"/>
    <w:rsid w:val="57C3426C"/>
    <w:rsid w:val="57C71C02"/>
    <w:rsid w:val="57CC0FC7"/>
    <w:rsid w:val="57CE1F93"/>
    <w:rsid w:val="57DA7B88"/>
    <w:rsid w:val="57DC1308"/>
    <w:rsid w:val="57DD7133"/>
    <w:rsid w:val="57DF519E"/>
    <w:rsid w:val="57EA3B43"/>
    <w:rsid w:val="57EB7101"/>
    <w:rsid w:val="57F14ED1"/>
    <w:rsid w:val="57F31103"/>
    <w:rsid w:val="57F549C2"/>
    <w:rsid w:val="57F62EA6"/>
    <w:rsid w:val="58084562"/>
    <w:rsid w:val="580C5867"/>
    <w:rsid w:val="580F5357"/>
    <w:rsid w:val="58134BDC"/>
    <w:rsid w:val="58134E48"/>
    <w:rsid w:val="5814296E"/>
    <w:rsid w:val="58160494"/>
    <w:rsid w:val="582232DD"/>
    <w:rsid w:val="58247055"/>
    <w:rsid w:val="58257AFE"/>
    <w:rsid w:val="58311772"/>
    <w:rsid w:val="58366D88"/>
    <w:rsid w:val="5837396F"/>
    <w:rsid w:val="583D0117"/>
    <w:rsid w:val="584B45E2"/>
    <w:rsid w:val="586678B1"/>
    <w:rsid w:val="58687051"/>
    <w:rsid w:val="58687750"/>
    <w:rsid w:val="58711B6E"/>
    <w:rsid w:val="587A428A"/>
    <w:rsid w:val="588743D1"/>
    <w:rsid w:val="5887701A"/>
    <w:rsid w:val="588E0972"/>
    <w:rsid w:val="58904C8A"/>
    <w:rsid w:val="589D2963"/>
    <w:rsid w:val="589F4E4A"/>
    <w:rsid w:val="58A13F32"/>
    <w:rsid w:val="58A84FA6"/>
    <w:rsid w:val="58B710A3"/>
    <w:rsid w:val="58CD1C40"/>
    <w:rsid w:val="58D520FD"/>
    <w:rsid w:val="58DE7204"/>
    <w:rsid w:val="58E56A80"/>
    <w:rsid w:val="58EF18E9"/>
    <w:rsid w:val="58FC58DC"/>
    <w:rsid w:val="59034EBC"/>
    <w:rsid w:val="59090B79"/>
    <w:rsid w:val="590A1172"/>
    <w:rsid w:val="590A624B"/>
    <w:rsid w:val="590B5B1F"/>
    <w:rsid w:val="590B7E91"/>
    <w:rsid w:val="59123351"/>
    <w:rsid w:val="59280156"/>
    <w:rsid w:val="592D018B"/>
    <w:rsid w:val="593037D7"/>
    <w:rsid w:val="59372DB8"/>
    <w:rsid w:val="594554D5"/>
    <w:rsid w:val="594A4899"/>
    <w:rsid w:val="594B36EF"/>
    <w:rsid w:val="595079D6"/>
    <w:rsid w:val="59583AF5"/>
    <w:rsid w:val="595C637A"/>
    <w:rsid w:val="59676172"/>
    <w:rsid w:val="596811C3"/>
    <w:rsid w:val="5975743C"/>
    <w:rsid w:val="59786625"/>
    <w:rsid w:val="59814033"/>
    <w:rsid w:val="59875AED"/>
    <w:rsid w:val="598C3104"/>
    <w:rsid w:val="599963B4"/>
    <w:rsid w:val="599975CF"/>
    <w:rsid w:val="59A0270B"/>
    <w:rsid w:val="59A541C5"/>
    <w:rsid w:val="59A954E0"/>
    <w:rsid w:val="59AD4E28"/>
    <w:rsid w:val="59B42BF6"/>
    <w:rsid w:val="59BD32BD"/>
    <w:rsid w:val="59C0439F"/>
    <w:rsid w:val="59C208D3"/>
    <w:rsid w:val="59D52B06"/>
    <w:rsid w:val="59D53026"/>
    <w:rsid w:val="59DE3233"/>
    <w:rsid w:val="59E304DF"/>
    <w:rsid w:val="59E3084A"/>
    <w:rsid w:val="59E545C2"/>
    <w:rsid w:val="59EE0A8E"/>
    <w:rsid w:val="59FD0258"/>
    <w:rsid w:val="5A0E2322"/>
    <w:rsid w:val="5A0F185C"/>
    <w:rsid w:val="5A144EA7"/>
    <w:rsid w:val="5A1530F9"/>
    <w:rsid w:val="5A173655"/>
    <w:rsid w:val="5A2275C4"/>
    <w:rsid w:val="5A2570B4"/>
    <w:rsid w:val="5A2F1CE1"/>
    <w:rsid w:val="5A364E1D"/>
    <w:rsid w:val="5A380B96"/>
    <w:rsid w:val="5A3A490E"/>
    <w:rsid w:val="5A3B2434"/>
    <w:rsid w:val="5A3B26B8"/>
    <w:rsid w:val="5A47527D"/>
    <w:rsid w:val="5A4C4641"/>
    <w:rsid w:val="5A5F4374"/>
    <w:rsid w:val="5A6000EC"/>
    <w:rsid w:val="5A6776CD"/>
    <w:rsid w:val="5A681176"/>
    <w:rsid w:val="5A696FA1"/>
    <w:rsid w:val="5A6E0A5B"/>
    <w:rsid w:val="5A70032F"/>
    <w:rsid w:val="5A783688"/>
    <w:rsid w:val="5A81078E"/>
    <w:rsid w:val="5A842EC4"/>
    <w:rsid w:val="5A85429F"/>
    <w:rsid w:val="5A8C2C8F"/>
    <w:rsid w:val="5A913401"/>
    <w:rsid w:val="5A946166"/>
    <w:rsid w:val="5A953685"/>
    <w:rsid w:val="5A9658BC"/>
    <w:rsid w:val="5A9A35FE"/>
    <w:rsid w:val="5A9C7376"/>
    <w:rsid w:val="5AA569AD"/>
    <w:rsid w:val="5AA66819"/>
    <w:rsid w:val="5AA903B9"/>
    <w:rsid w:val="5AAC3332"/>
    <w:rsid w:val="5AAC50E0"/>
    <w:rsid w:val="5AAE70AA"/>
    <w:rsid w:val="5AB04BD0"/>
    <w:rsid w:val="5AB44C33"/>
    <w:rsid w:val="5AB7233B"/>
    <w:rsid w:val="5ABD72ED"/>
    <w:rsid w:val="5ABE2233"/>
    <w:rsid w:val="5AC643F3"/>
    <w:rsid w:val="5AC807CA"/>
    <w:rsid w:val="5ACB5F92"/>
    <w:rsid w:val="5ACB7855"/>
    <w:rsid w:val="5AD7215D"/>
    <w:rsid w:val="5ADF02F9"/>
    <w:rsid w:val="5ADF1011"/>
    <w:rsid w:val="5AE12FDB"/>
    <w:rsid w:val="5AE623A0"/>
    <w:rsid w:val="5AEB51CD"/>
    <w:rsid w:val="5AF357FA"/>
    <w:rsid w:val="5B0B1E06"/>
    <w:rsid w:val="5B0B3659"/>
    <w:rsid w:val="5B182775"/>
    <w:rsid w:val="5B242EC8"/>
    <w:rsid w:val="5B2829B8"/>
    <w:rsid w:val="5B3A6B8F"/>
    <w:rsid w:val="5B3E6680"/>
    <w:rsid w:val="5B445318"/>
    <w:rsid w:val="5B4517BC"/>
    <w:rsid w:val="5B4672E2"/>
    <w:rsid w:val="5B527893"/>
    <w:rsid w:val="5B527A35"/>
    <w:rsid w:val="5B5D268B"/>
    <w:rsid w:val="5B5F03A4"/>
    <w:rsid w:val="5B5F3BF2"/>
    <w:rsid w:val="5B605FBA"/>
    <w:rsid w:val="5B6211F1"/>
    <w:rsid w:val="5B632B55"/>
    <w:rsid w:val="5B6A1223"/>
    <w:rsid w:val="5B726329"/>
    <w:rsid w:val="5B866D5D"/>
    <w:rsid w:val="5B8C5F46"/>
    <w:rsid w:val="5B8D4F11"/>
    <w:rsid w:val="5B90055D"/>
    <w:rsid w:val="5B9B13DC"/>
    <w:rsid w:val="5B9C5154"/>
    <w:rsid w:val="5B9D3028"/>
    <w:rsid w:val="5B9E2C7A"/>
    <w:rsid w:val="5B9E711E"/>
    <w:rsid w:val="5BA22A3F"/>
    <w:rsid w:val="5BAC183B"/>
    <w:rsid w:val="5BB4249E"/>
    <w:rsid w:val="5BC052E6"/>
    <w:rsid w:val="5BC36B85"/>
    <w:rsid w:val="5BC546AB"/>
    <w:rsid w:val="5BC677E4"/>
    <w:rsid w:val="5BCB77E7"/>
    <w:rsid w:val="5BD631BA"/>
    <w:rsid w:val="5BD95038"/>
    <w:rsid w:val="5BDF5D95"/>
    <w:rsid w:val="5BEB2900"/>
    <w:rsid w:val="5BED775E"/>
    <w:rsid w:val="5BF22FC6"/>
    <w:rsid w:val="5BF64864"/>
    <w:rsid w:val="5BF94355"/>
    <w:rsid w:val="5BFE7528"/>
    <w:rsid w:val="5C02145B"/>
    <w:rsid w:val="5C0276AD"/>
    <w:rsid w:val="5C0351D3"/>
    <w:rsid w:val="5C050F4B"/>
    <w:rsid w:val="5C1271C4"/>
    <w:rsid w:val="5C14118E"/>
    <w:rsid w:val="5C163158"/>
    <w:rsid w:val="5C190553"/>
    <w:rsid w:val="5C1F025F"/>
    <w:rsid w:val="5C1F05C4"/>
    <w:rsid w:val="5C237623"/>
    <w:rsid w:val="5C2537AE"/>
    <w:rsid w:val="5C2E6ABF"/>
    <w:rsid w:val="5C3830CF"/>
    <w:rsid w:val="5C425CFC"/>
    <w:rsid w:val="5C4A4BB0"/>
    <w:rsid w:val="5C62625A"/>
    <w:rsid w:val="5C67193A"/>
    <w:rsid w:val="5C6E4D42"/>
    <w:rsid w:val="5C6E508A"/>
    <w:rsid w:val="5C7A1768"/>
    <w:rsid w:val="5C8046E8"/>
    <w:rsid w:val="5C841E70"/>
    <w:rsid w:val="5C8B76A2"/>
    <w:rsid w:val="5C924597"/>
    <w:rsid w:val="5C952D5F"/>
    <w:rsid w:val="5C9B6F8B"/>
    <w:rsid w:val="5CA113A9"/>
    <w:rsid w:val="5CAE15E3"/>
    <w:rsid w:val="5CB36BF9"/>
    <w:rsid w:val="5CC44887"/>
    <w:rsid w:val="5CCC5BEA"/>
    <w:rsid w:val="5CCE3A33"/>
    <w:rsid w:val="5CCE65E1"/>
    <w:rsid w:val="5CD96E3F"/>
    <w:rsid w:val="5CDE2033"/>
    <w:rsid w:val="5CE70651"/>
    <w:rsid w:val="5CE96F5F"/>
    <w:rsid w:val="5CEE5E83"/>
    <w:rsid w:val="5CF35248"/>
    <w:rsid w:val="5CF36FF6"/>
    <w:rsid w:val="5CF80AB0"/>
    <w:rsid w:val="5D02548B"/>
    <w:rsid w:val="5D0B07E3"/>
    <w:rsid w:val="5D0D6309"/>
    <w:rsid w:val="5D0E5BDE"/>
    <w:rsid w:val="5D156F6C"/>
    <w:rsid w:val="5D1A7C60"/>
    <w:rsid w:val="5D245401"/>
    <w:rsid w:val="5D283143"/>
    <w:rsid w:val="5D290C69"/>
    <w:rsid w:val="5D3167B9"/>
    <w:rsid w:val="5D323FC2"/>
    <w:rsid w:val="5D437F7D"/>
    <w:rsid w:val="5D4E3213"/>
    <w:rsid w:val="5D557CB0"/>
    <w:rsid w:val="5D5865C4"/>
    <w:rsid w:val="5D600B2F"/>
    <w:rsid w:val="5D6B1282"/>
    <w:rsid w:val="5D7A3DF2"/>
    <w:rsid w:val="5D7C523D"/>
    <w:rsid w:val="5D812854"/>
    <w:rsid w:val="5D814602"/>
    <w:rsid w:val="5D8B722E"/>
    <w:rsid w:val="5D964551"/>
    <w:rsid w:val="5D9A76A7"/>
    <w:rsid w:val="5D9B1B67"/>
    <w:rsid w:val="5D9C768D"/>
    <w:rsid w:val="5DAA158A"/>
    <w:rsid w:val="5DB33301"/>
    <w:rsid w:val="5DB37D2C"/>
    <w:rsid w:val="5DBE7604"/>
    <w:rsid w:val="5DC15346"/>
    <w:rsid w:val="5DD60DF1"/>
    <w:rsid w:val="5DD65C21"/>
    <w:rsid w:val="5DDA0407"/>
    <w:rsid w:val="5DE16BAC"/>
    <w:rsid w:val="5DE45947"/>
    <w:rsid w:val="5DE47525"/>
    <w:rsid w:val="5DE77884"/>
    <w:rsid w:val="5DF748C4"/>
    <w:rsid w:val="5DFE5C52"/>
    <w:rsid w:val="5E052FC6"/>
    <w:rsid w:val="5E101564"/>
    <w:rsid w:val="5E135BA1"/>
    <w:rsid w:val="5E1829D0"/>
    <w:rsid w:val="5E2467F1"/>
    <w:rsid w:val="5E263CC0"/>
    <w:rsid w:val="5E2C27BF"/>
    <w:rsid w:val="5E316028"/>
    <w:rsid w:val="5E3E6996"/>
    <w:rsid w:val="5E413D91"/>
    <w:rsid w:val="5E4A4422"/>
    <w:rsid w:val="5E4E6BDA"/>
    <w:rsid w:val="5E532442"/>
    <w:rsid w:val="5E59518E"/>
    <w:rsid w:val="5E604B5F"/>
    <w:rsid w:val="5E637D96"/>
    <w:rsid w:val="5E714C0F"/>
    <w:rsid w:val="5E734892"/>
    <w:rsid w:val="5E7738EB"/>
    <w:rsid w:val="5E7E6D93"/>
    <w:rsid w:val="5E826883"/>
    <w:rsid w:val="5E856136"/>
    <w:rsid w:val="5EA57E1B"/>
    <w:rsid w:val="5EA850C3"/>
    <w:rsid w:val="5EA92062"/>
    <w:rsid w:val="5EC0115A"/>
    <w:rsid w:val="5ED510A9"/>
    <w:rsid w:val="5ED6097D"/>
    <w:rsid w:val="5EEB44B5"/>
    <w:rsid w:val="5EF332DD"/>
    <w:rsid w:val="5EFA0B0F"/>
    <w:rsid w:val="5EFA67DC"/>
    <w:rsid w:val="5EFB1FAF"/>
    <w:rsid w:val="5EFC6636"/>
    <w:rsid w:val="5EFD1D4D"/>
    <w:rsid w:val="5F0B0627"/>
    <w:rsid w:val="5F1A2B43"/>
    <w:rsid w:val="5F3202A9"/>
    <w:rsid w:val="5F381638"/>
    <w:rsid w:val="5F3F46B5"/>
    <w:rsid w:val="5F434264"/>
    <w:rsid w:val="5F487ACD"/>
    <w:rsid w:val="5F5051C4"/>
    <w:rsid w:val="5F553F98"/>
    <w:rsid w:val="5F585793"/>
    <w:rsid w:val="5F5C0E82"/>
    <w:rsid w:val="5F5D2E4C"/>
    <w:rsid w:val="5F6441DB"/>
    <w:rsid w:val="5F681F1D"/>
    <w:rsid w:val="5F6E5059"/>
    <w:rsid w:val="5F762360"/>
    <w:rsid w:val="5F783068"/>
    <w:rsid w:val="5F793463"/>
    <w:rsid w:val="5F9C3975"/>
    <w:rsid w:val="5F9E48B3"/>
    <w:rsid w:val="5F9E593F"/>
    <w:rsid w:val="5FA334EF"/>
    <w:rsid w:val="5FA8056B"/>
    <w:rsid w:val="5FAB3BB8"/>
    <w:rsid w:val="5FB40CBE"/>
    <w:rsid w:val="5FB837BB"/>
    <w:rsid w:val="5FB94527"/>
    <w:rsid w:val="5FC42BFA"/>
    <w:rsid w:val="5FCA2BE7"/>
    <w:rsid w:val="5FCC24AC"/>
    <w:rsid w:val="5FCF78A6"/>
    <w:rsid w:val="5FD96977"/>
    <w:rsid w:val="5FDC0215"/>
    <w:rsid w:val="5FE175D9"/>
    <w:rsid w:val="5FE231E0"/>
    <w:rsid w:val="5FE33352"/>
    <w:rsid w:val="5FE377F5"/>
    <w:rsid w:val="5FE570CA"/>
    <w:rsid w:val="5FE80968"/>
    <w:rsid w:val="5FE86BBA"/>
    <w:rsid w:val="5FEA2932"/>
    <w:rsid w:val="5FF72320"/>
    <w:rsid w:val="5FF7504F"/>
    <w:rsid w:val="5FFB4430"/>
    <w:rsid w:val="5FFB4B3F"/>
    <w:rsid w:val="600009CF"/>
    <w:rsid w:val="60002155"/>
    <w:rsid w:val="60025ECE"/>
    <w:rsid w:val="60065292"/>
    <w:rsid w:val="600D03CE"/>
    <w:rsid w:val="600E19BC"/>
    <w:rsid w:val="60107EBF"/>
    <w:rsid w:val="60145C01"/>
    <w:rsid w:val="601B0D3D"/>
    <w:rsid w:val="601B2556"/>
    <w:rsid w:val="601C6864"/>
    <w:rsid w:val="602D64AE"/>
    <w:rsid w:val="60310561"/>
    <w:rsid w:val="6037544B"/>
    <w:rsid w:val="603911C4"/>
    <w:rsid w:val="60402552"/>
    <w:rsid w:val="60451933"/>
    <w:rsid w:val="604C0EF7"/>
    <w:rsid w:val="604C539B"/>
    <w:rsid w:val="604D2EC1"/>
    <w:rsid w:val="605129B1"/>
    <w:rsid w:val="60591866"/>
    <w:rsid w:val="605B55DE"/>
    <w:rsid w:val="60624BBE"/>
    <w:rsid w:val="60687CFB"/>
    <w:rsid w:val="607105DC"/>
    <w:rsid w:val="60762418"/>
    <w:rsid w:val="60791F08"/>
    <w:rsid w:val="607B7A2E"/>
    <w:rsid w:val="607F2E50"/>
    <w:rsid w:val="608143A4"/>
    <w:rsid w:val="60822B6A"/>
    <w:rsid w:val="608368E3"/>
    <w:rsid w:val="60844B35"/>
    <w:rsid w:val="608D150F"/>
    <w:rsid w:val="609B00D0"/>
    <w:rsid w:val="609D79A4"/>
    <w:rsid w:val="60A56859"/>
    <w:rsid w:val="60A857B1"/>
    <w:rsid w:val="60B847DE"/>
    <w:rsid w:val="60BE18F9"/>
    <w:rsid w:val="60BE1D54"/>
    <w:rsid w:val="60C2565D"/>
    <w:rsid w:val="60C56332"/>
    <w:rsid w:val="60CA1618"/>
    <w:rsid w:val="60CC405A"/>
    <w:rsid w:val="60DB227B"/>
    <w:rsid w:val="60DF6DB5"/>
    <w:rsid w:val="60E76E71"/>
    <w:rsid w:val="60E9469A"/>
    <w:rsid w:val="60EE010F"/>
    <w:rsid w:val="60F15F42"/>
    <w:rsid w:val="60F668A1"/>
    <w:rsid w:val="60F670B5"/>
    <w:rsid w:val="60F90953"/>
    <w:rsid w:val="60FE183A"/>
    <w:rsid w:val="6106379C"/>
    <w:rsid w:val="610E7BD3"/>
    <w:rsid w:val="61112140"/>
    <w:rsid w:val="61146304"/>
    <w:rsid w:val="611520E4"/>
    <w:rsid w:val="61161505"/>
    <w:rsid w:val="61241E74"/>
    <w:rsid w:val="61260834"/>
    <w:rsid w:val="612E2CF2"/>
    <w:rsid w:val="613A51F3"/>
    <w:rsid w:val="61442D85"/>
    <w:rsid w:val="61497B2C"/>
    <w:rsid w:val="614B7400"/>
    <w:rsid w:val="615269E1"/>
    <w:rsid w:val="6155027F"/>
    <w:rsid w:val="615564D1"/>
    <w:rsid w:val="61672ABF"/>
    <w:rsid w:val="61691F7C"/>
    <w:rsid w:val="61693D2A"/>
    <w:rsid w:val="616944C2"/>
    <w:rsid w:val="616D381B"/>
    <w:rsid w:val="618741B1"/>
    <w:rsid w:val="6188767B"/>
    <w:rsid w:val="61926DDD"/>
    <w:rsid w:val="619F599E"/>
    <w:rsid w:val="61A92379"/>
    <w:rsid w:val="61B50D1E"/>
    <w:rsid w:val="61B551C2"/>
    <w:rsid w:val="61C775F0"/>
    <w:rsid w:val="61C84EF5"/>
    <w:rsid w:val="61CB0541"/>
    <w:rsid w:val="61CB6793"/>
    <w:rsid w:val="61CC20BB"/>
    <w:rsid w:val="61D05B58"/>
    <w:rsid w:val="61D10C67"/>
    <w:rsid w:val="61E215D8"/>
    <w:rsid w:val="61F2259B"/>
    <w:rsid w:val="61F555BE"/>
    <w:rsid w:val="61FB296E"/>
    <w:rsid w:val="61FE26C5"/>
    <w:rsid w:val="620677CB"/>
    <w:rsid w:val="620F48D2"/>
    <w:rsid w:val="62153C76"/>
    <w:rsid w:val="621A4BF4"/>
    <w:rsid w:val="621B3775"/>
    <w:rsid w:val="621D27D3"/>
    <w:rsid w:val="621D5608"/>
    <w:rsid w:val="62233ED9"/>
    <w:rsid w:val="622639C9"/>
    <w:rsid w:val="62265778"/>
    <w:rsid w:val="622814F0"/>
    <w:rsid w:val="622B4DD7"/>
    <w:rsid w:val="622F0AD0"/>
    <w:rsid w:val="62307304"/>
    <w:rsid w:val="623600B0"/>
    <w:rsid w:val="62364782"/>
    <w:rsid w:val="62376FCB"/>
    <w:rsid w:val="624125B1"/>
    <w:rsid w:val="62425706"/>
    <w:rsid w:val="624520A2"/>
    <w:rsid w:val="625247BE"/>
    <w:rsid w:val="62546789"/>
    <w:rsid w:val="62560479"/>
    <w:rsid w:val="626B6C98"/>
    <w:rsid w:val="626E5638"/>
    <w:rsid w:val="62750C70"/>
    <w:rsid w:val="627A6223"/>
    <w:rsid w:val="627B1F67"/>
    <w:rsid w:val="628030DA"/>
    <w:rsid w:val="6280757E"/>
    <w:rsid w:val="62823ACB"/>
    <w:rsid w:val="62864468"/>
    <w:rsid w:val="62AE40EB"/>
    <w:rsid w:val="62AF39BF"/>
    <w:rsid w:val="62BB1EC2"/>
    <w:rsid w:val="62BB6808"/>
    <w:rsid w:val="62BD4297"/>
    <w:rsid w:val="62BD60DC"/>
    <w:rsid w:val="62C06D65"/>
    <w:rsid w:val="62C21E48"/>
    <w:rsid w:val="62C236F2"/>
    <w:rsid w:val="62C95953"/>
    <w:rsid w:val="62CE02E9"/>
    <w:rsid w:val="62D33B51"/>
    <w:rsid w:val="62D80037"/>
    <w:rsid w:val="62D84911"/>
    <w:rsid w:val="62DE0959"/>
    <w:rsid w:val="62E55633"/>
    <w:rsid w:val="62E85715"/>
    <w:rsid w:val="62EA2C49"/>
    <w:rsid w:val="62F51D1A"/>
    <w:rsid w:val="62F67840"/>
    <w:rsid w:val="62F85366"/>
    <w:rsid w:val="62F92E8C"/>
    <w:rsid w:val="62FB30A8"/>
    <w:rsid w:val="63043D0B"/>
    <w:rsid w:val="630C7063"/>
    <w:rsid w:val="63163A3E"/>
    <w:rsid w:val="631B43BD"/>
    <w:rsid w:val="631D301E"/>
    <w:rsid w:val="631D6B7A"/>
    <w:rsid w:val="63211123"/>
    <w:rsid w:val="63350368"/>
    <w:rsid w:val="633C08FC"/>
    <w:rsid w:val="633D721D"/>
    <w:rsid w:val="633E321C"/>
    <w:rsid w:val="633E6462"/>
    <w:rsid w:val="63473BF7"/>
    <w:rsid w:val="63475D14"/>
    <w:rsid w:val="63497970"/>
    <w:rsid w:val="634C3904"/>
    <w:rsid w:val="634E4F86"/>
    <w:rsid w:val="63557AD3"/>
    <w:rsid w:val="635B58F5"/>
    <w:rsid w:val="635D341B"/>
    <w:rsid w:val="63615DDE"/>
    <w:rsid w:val="636447A9"/>
    <w:rsid w:val="636F7DBB"/>
    <w:rsid w:val="637616EE"/>
    <w:rsid w:val="637846F9"/>
    <w:rsid w:val="637E4A58"/>
    <w:rsid w:val="637F3391"/>
    <w:rsid w:val="638116F6"/>
    <w:rsid w:val="63860BC4"/>
    <w:rsid w:val="638A3A6A"/>
    <w:rsid w:val="638D6B39"/>
    <w:rsid w:val="63914C57"/>
    <w:rsid w:val="6394356A"/>
    <w:rsid w:val="639D7CBB"/>
    <w:rsid w:val="639E0ECE"/>
    <w:rsid w:val="639F1C85"/>
    <w:rsid w:val="63B0200F"/>
    <w:rsid w:val="63BC6393"/>
    <w:rsid w:val="63C61B2C"/>
    <w:rsid w:val="63CF256B"/>
    <w:rsid w:val="63CF38F4"/>
    <w:rsid w:val="63D170AC"/>
    <w:rsid w:val="63D336DD"/>
    <w:rsid w:val="63D40BE9"/>
    <w:rsid w:val="63D61E2D"/>
    <w:rsid w:val="63EE6769"/>
    <w:rsid w:val="63F87F70"/>
    <w:rsid w:val="6401192F"/>
    <w:rsid w:val="64055F8C"/>
    <w:rsid w:val="64102431"/>
    <w:rsid w:val="64106469"/>
    <w:rsid w:val="64124205"/>
    <w:rsid w:val="64204D90"/>
    <w:rsid w:val="642503DD"/>
    <w:rsid w:val="642F3009"/>
    <w:rsid w:val="64322AF9"/>
    <w:rsid w:val="64346872"/>
    <w:rsid w:val="643A4547"/>
    <w:rsid w:val="64436AB5"/>
    <w:rsid w:val="644D348F"/>
    <w:rsid w:val="64591E34"/>
    <w:rsid w:val="64593FB3"/>
    <w:rsid w:val="64601415"/>
    <w:rsid w:val="64866038"/>
    <w:rsid w:val="64963B81"/>
    <w:rsid w:val="649D4417"/>
    <w:rsid w:val="64A22A05"/>
    <w:rsid w:val="64A31301"/>
    <w:rsid w:val="64A357A5"/>
    <w:rsid w:val="64A369B5"/>
    <w:rsid w:val="64A5243A"/>
    <w:rsid w:val="64A70DF2"/>
    <w:rsid w:val="64AC6408"/>
    <w:rsid w:val="64AF7CA6"/>
    <w:rsid w:val="64B4436F"/>
    <w:rsid w:val="64BB2AEF"/>
    <w:rsid w:val="64C01EB3"/>
    <w:rsid w:val="64C23E7D"/>
    <w:rsid w:val="64C44AE5"/>
    <w:rsid w:val="64C81545"/>
    <w:rsid w:val="64CC2606"/>
    <w:rsid w:val="64CC7553"/>
    <w:rsid w:val="64D20964"/>
    <w:rsid w:val="64D616D7"/>
    <w:rsid w:val="64D92102"/>
    <w:rsid w:val="64DA5636"/>
    <w:rsid w:val="64DD2A65"/>
    <w:rsid w:val="64DE67DD"/>
    <w:rsid w:val="64E948B9"/>
    <w:rsid w:val="64EE6A20"/>
    <w:rsid w:val="64EF2799"/>
    <w:rsid w:val="64F531DE"/>
    <w:rsid w:val="64FD6C64"/>
    <w:rsid w:val="65055B18"/>
    <w:rsid w:val="65093480"/>
    <w:rsid w:val="6509385A"/>
    <w:rsid w:val="6511270F"/>
    <w:rsid w:val="651D2CC4"/>
    <w:rsid w:val="652F7039"/>
    <w:rsid w:val="6530528B"/>
    <w:rsid w:val="653113EB"/>
    <w:rsid w:val="65373578"/>
    <w:rsid w:val="65384A6E"/>
    <w:rsid w:val="65442AE4"/>
    <w:rsid w:val="654F3237"/>
    <w:rsid w:val="6554084E"/>
    <w:rsid w:val="65590A67"/>
    <w:rsid w:val="65605444"/>
    <w:rsid w:val="656971DE"/>
    <w:rsid w:val="656F7435"/>
    <w:rsid w:val="657607C4"/>
    <w:rsid w:val="657A6A22"/>
    <w:rsid w:val="657D7DA4"/>
    <w:rsid w:val="658779C4"/>
    <w:rsid w:val="658904F7"/>
    <w:rsid w:val="658E7B9D"/>
    <w:rsid w:val="65913819"/>
    <w:rsid w:val="65950CE4"/>
    <w:rsid w:val="659D21F5"/>
    <w:rsid w:val="65A25A5D"/>
    <w:rsid w:val="65AF7672"/>
    <w:rsid w:val="65B452EA"/>
    <w:rsid w:val="65B8702E"/>
    <w:rsid w:val="65BD701E"/>
    <w:rsid w:val="65C84FCB"/>
    <w:rsid w:val="65C9123C"/>
    <w:rsid w:val="65C946A4"/>
    <w:rsid w:val="65D57BE0"/>
    <w:rsid w:val="65D8147F"/>
    <w:rsid w:val="65D82102"/>
    <w:rsid w:val="65DC0F6F"/>
    <w:rsid w:val="65DE6309"/>
    <w:rsid w:val="65E23D70"/>
    <w:rsid w:val="65E46075"/>
    <w:rsid w:val="65E9543A"/>
    <w:rsid w:val="65EE2A50"/>
    <w:rsid w:val="65EE50B2"/>
    <w:rsid w:val="65F067BF"/>
    <w:rsid w:val="65F20792"/>
    <w:rsid w:val="660B1854"/>
    <w:rsid w:val="660D2ED6"/>
    <w:rsid w:val="660D5738"/>
    <w:rsid w:val="660E4EA0"/>
    <w:rsid w:val="66100C18"/>
    <w:rsid w:val="66134265"/>
    <w:rsid w:val="66156758"/>
    <w:rsid w:val="6618187B"/>
    <w:rsid w:val="661C7228"/>
    <w:rsid w:val="6623094C"/>
    <w:rsid w:val="66293A88"/>
    <w:rsid w:val="662B3359"/>
    <w:rsid w:val="66320B8F"/>
    <w:rsid w:val="6635067F"/>
    <w:rsid w:val="663D040A"/>
    <w:rsid w:val="66417024"/>
    <w:rsid w:val="66442670"/>
    <w:rsid w:val="664D3C1B"/>
    <w:rsid w:val="66546D57"/>
    <w:rsid w:val="665B1CD3"/>
    <w:rsid w:val="66680A54"/>
    <w:rsid w:val="6673409F"/>
    <w:rsid w:val="66772A46"/>
    <w:rsid w:val="667D7D38"/>
    <w:rsid w:val="668138C4"/>
    <w:rsid w:val="668337DE"/>
    <w:rsid w:val="66841E5E"/>
    <w:rsid w:val="66846F11"/>
    <w:rsid w:val="668D30D8"/>
    <w:rsid w:val="66925AD1"/>
    <w:rsid w:val="6694184A"/>
    <w:rsid w:val="669D7FB8"/>
    <w:rsid w:val="66A6332B"/>
    <w:rsid w:val="66B23A7E"/>
    <w:rsid w:val="66B45A48"/>
    <w:rsid w:val="66B71094"/>
    <w:rsid w:val="66B90C2B"/>
    <w:rsid w:val="66B912B0"/>
    <w:rsid w:val="66BF00F7"/>
    <w:rsid w:val="66CA526B"/>
    <w:rsid w:val="66D659BE"/>
    <w:rsid w:val="66D9725C"/>
    <w:rsid w:val="66DB2FD4"/>
    <w:rsid w:val="66DC6D4D"/>
    <w:rsid w:val="66DD4F9F"/>
    <w:rsid w:val="66E3632D"/>
    <w:rsid w:val="66EA3218"/>
    <w:rsid w:val="66F0546D"/>
    <w:rsid w:val="66F127F8"/>
    <w:rsid w:val="66F145A6"/>
    <w:rsid w:val="66F23A94"/>
    <w:rsid w:val="66F67E0E"/>
    <w:rsid w:val="66FB5425"/>
    <w:rsid w:val="6707201B"/>
    <w:rsid w:val="670A38BA"/>
    <w:rsid w:val="670F7329"/>
    <w:rsid w:val="67144738"/>
    <w:rsid w:val="6716400D"/>
    <w:rsid w:val="671B7875"/>
    <w:rsid w:val="671E7365"/>
    <w:rsid w:val="671F124A"/>
    <w:rsid w:val="6723497B"/>
    <w:rsid w:val="672A3F5C"/>
    <w:rsid w:val="672A5D0A"/>
    <w:rsid w:val="67325C83"/>
    <w:rsid w:val="67346B89"/>
    <w:rsid w:val="67381A2E"/>
    <w:rsid w:val="67381BDA"/>
    <w:rsid w:val="674072DE"/>
    <w:rsid w:val="675049EF"/>
    <w:rsid w:val="67550FD9"/>
    <w:rsid w:val="675D1C3B"/>
    <w:rsid w:val="675F6CEE"/>
    <w:rsid w:val="67672ABA"/>
    <w:rsid w:val="67674868"/>
    <w:rsid w:val="67694A84"/>
    <w:rsid w:val="67697BF5"/>
    <w:rsid w:val="676A25AA"/>
    <w:rsid w:val="677A33C6"/>
    <w:rsid w:val="678278F4"/>
    <w:rsid w:val="67844B3C"/>
    <w:rsid w:val="678E0047"/>
    <w:rsid w:val="6793565D"/>
    <w:rsid w:val="67966552"/>
    <w:rsid w:val="679A2E90"/>
    <w:rsid w:val="679D34B6"/>
    <w:rsid w:val="67AC671F"/>
    <w:rsid w:val="67AE06E9"/>
    <w:rsid w:val="67B215EE"/>
    <w:rsid w:val="67B32269"/>
    <w:rsid w:val="67B37AAD"/>
    <w:rsid w:val="67B55127"/>
    <w:rsid w:val="67C47F0C"/>
    <w:rsid w:val="67C9107F"/>
    <w:rsid w:val="67D143D7"/>
    <w:rsid w:val="67DA5838"/>
    <w:rsid w:val="67EB5499"/>
    <w:rsid w:val="67EB7247"/>
    <w:rsid w:val="67F21BCA"/>
    <w:rsid w:val="67F307F2"/>
    <w:rsid w:val="67FA56DC"/>
    <w:rsid w:val="67FE0A1E"/>
    <w:rsid w:val="680D18B3"/>
    <w:rsid w:val="680D7083"/>
    <w:rsid w:val="681E0008"/>
    <w:rsid w:val="681F29BA"/>
    <w:rsid w:val="681F6961"/>
    <w:rsid w:val="68336E0E"/>
    <w:rsid w:val="684B418A"/>
    <w:rsid w:val="685A0D1F"/>
    <w:rsid w:val="685F0C0D"/>
    <w:rsid w:val="68610A2F"/>
    <w:rsid w:val="6861575B"/>
    <w:rsid w:val="68662D72"/>
    <w:rsid w:val="68774F7F"/>
    <w:rsid w:val="68805514"/>
    <w:rsid w:val="688055E9"/>
    <w:rsid w:val="688D47A2"/>
    <w:rsid w:val="689306AB"/>
    <w:rsid w:val="689618A9"/>
    <w:rsid w:val="689E69AF"/>
    <w:rsid w:val="68A13DAA"/>
    <w:rsid w:val="68A2788C"/>
    <w:rsid w:val="68A660CA"/>
    <w:rsid w:val="68AF4719"/>
    <w:rsid w:val="68AF64C7"/>
    <w:rsid w:val="68B00AF5"/>
    <w:rsid w:val="68B25FB7"/>
    <w:rsid w:val="68B57855"/>
    <w:rsid w:val="68BD10E3"/>
    <w:rsid w:val="68C161FA"/>
    <w:rsid w:val="68C36416"/>
    <w:rsid w:val="68D0643D"/>
    <w:rsid w:val="68D51CA5"/>
    <w:rsid w:val="68DB550E"/>
    <w:rsid w:val="68E819D9"/>
    <w:rsid w:val="68EA39A3"/>
    <w:rsid w:val="68F24605"/>
    <w:rsid w:val="68F37058"/>
    <w:rsid w:val="68F61C13"/>
    <w:rsid w:val="68F71D0E"/>
    <w:rsid w:val="68FA7FC9"/>
    <w:rsid w:val="68FB5BB0"/>
    <w:rsid w:val="69012A9A"/>
    <w:rsid w:val="690D16FE"/>
    <w:rsid w:val="690E2B8E"/>
    <w:rsid w:val="6917406C"/>
    <w:rsid w:val="691C1682"/>
    <w:rsid w:val="691E0497"/>
    <w:rsid w:val="691E364C"/>
    <w:rsid w:val="69201173"/>
    <w:rsid w:val="692769A5"/>
    <w:rsid w:val="692D388F"/>
    <w:rsid w:val="69316E2F"/>
    <w:rsid w:val="69341BD1"/>
    <w:rsid w:val="693634DB"/>
    <w:rsid w:val="693B7D5A"/>
    <w:rsid w:val="693E784B"/>
    <w:rsid w:val="69407A67"/>
    <w:rsid w:val="6945507D"/>
    <w:rsid w:val="694A4441"/>
    <w:rsid w:val="694C01BA"/>
    <w:rsid w:val="694E2071"/>
    <w:rsid w:val="694E3F32"/>
    <w:rsid w:val="69584DB0"/>
    <w:rsid w:val="695C0A69"/>
    <w:rsid w:val="695C51F6"/>
    <w:rsid w:val="695E1C9B"/>
    <w:rsid w:val="69635503"/>
    <w:rsid w:val="69681CE7"/>
    <w:rsid w:val="696A0E9C"/>
    <w:rsid w:val="6974085D"/>
    <w:rsid w:val="69750B86"/>
    <w:rsid w:val="69766163"/>
    <w:rsid w:val="697A3B33"/>
    <w:rsid w:val="697D65C5"/>
    <w:rsid w:val="698A6F34"/>
    <w:rsid w:val="698F00A6"/>
    <w:rsid w:val="69905E35"/>
    <w:rsid w:val="69946050"/>
    <w:rsid w:val="699E27C6"/>
    <w:rsid w:val="699F478D"/>
    <w:rsid w:val="69A2602B"/>
    <w:rsid w:val="69A95206"/>
    <w:rsid w:val="69AA2093"/>
    <w:rsid w:val="69B5065E"/>
    <w:rsid w:val="69BB7793"/>
    <w:rsid w:val="69BD10B7"/>
    <w:rsid w:val="69BF098B"/>
    <w:rsid w:val="69CA5396"/>
    <w:rsid w:val="69CC4E56"/>
    <w:rsid w:val="69CE0BCF"/>
    <w:rsid w:val="69CE5072"/>
    <w:rsid w:val="69CF26E4"/>
    <w:rsid w:val="69D44760"/>
    <w:rsid w:val="69D8119A"/>
    <w:rsid w:val="69DB4C8E"/>
    <w:rsid w:val="69DC35AE"/>
    <w:rsid w:val="69DD52B6"/>
    <w:rsid w:val="69E20B1E"/>
    <w:rsid w:val="69E37C4D"/>
    <w:rsid w:val="69E44896"/>
    <w:rsid w:val="69F0323B"/>
    <w:rsid w:val="69F055C0"/>
    <w:rsid w:val="69FA19C4"/>
    <w:rsid w:val="69FC1E8C"/>
    <w:rsid w:val="6A0E546F"/>
    <w:rsid w:val="6A0F1269"/>
    <w:rsid w:val="6A1011E7"/>
    <w:rsid w:val="6A1B23DD"/>
    <w:rsid w:val="6A211646"/>
    <w:rsid w:val="6A244BE6"/>
    <w:rsid w:val="6A251A34"/>
    <w:rsid w:val="6A325601"/>
    <w:rsid w:val="6A355AC5"/>
    <w:rsid w:val="6A3A2708"/>
    <w:rsid w:val="6A3C1FDC"/>
    <w:rsid w:val="6A3D3FA6"/>
    <w:rsid w:val="6A445335"/>
    <w:rsid w:val="6A4A03EE"/>
    <w:rsid w:val="6A4D243B"/>
    <w:rsid w:val="6A4D2591"/>
    <w:rsid w:val="6A520EC7"/>
    <w:rsid w:val="6A58493C"/>
    <w:rsid w:val="6A5E63F6"/>
    <w:rsid w:val="6A617C95"/>
    <w:rsid w:val="6A623431"/>
    <w:rsid w:val="6A687275"/>
    <w:rsid w:val="6A710359"/>
    <w:rsid w:val="6A7A6FA8"/>
    <w:rsid w:val="6A892D47"/>
    <w:rsid w:val="6A8A5BF7"/>
    <w:rsid w:val="6A8D6CDC"/>
    <w:rsid w:val="6A9F07BD"/>
    <w:rsid w:val="6AAF0A00"/>
    <w:rsid w:val="6AB9187F"/>
    <w:rsid w:val="6ABE6E95"/>
    <w:rsid w:val="6AC31E61"/>
    <w:rsid w:val="6AC951B0"/>
    <w:rsid w:val="6AE508C6"/>
    <w:rsid w:val="6AE85CC0"/>
    <w:rsid w:val="6AEB57B0"/>
    <w:rsid w:val="6AED6170"/>
    <w:rsid w:val="6AF2570B"/>
    <w:rsid w:val="6AF40B09"/>
    <w:rsid w:val="6AF87E20"/>
    <w:rsid w:val="6AF97ECD"/>
    <w:rsid w:val="6B0625EA"/>
    <w:rsid w:val="6B065C1C"/>
    <w:rsid w:val="6B0B5522"/>
    <w:rsid w:val="6B0D1BCA"/>
    <w:rsid w:val="6B161FCF"/>
    <w:rsid w:val="6B1940CB"/>
    <w:rsid w:val="6B1E5B86"/>
    <w:rsid w:val="6B257DEC"/>
    <w:rsid w:val="6B2A277C"/>
    <w:rsid w:val="6B2A3BA1"/>
    <w:rsid w:val="6B322639"/>
    <w:rsid w:val="6B3709F5"/>
    <w:rsid w:val="6B3E7FD6"/>
    <w:rsid w:val="6B451364"/>
    <w:rsid w:val="6B4E2D3E"/>
    <w:rsid w:val="6B4E5CCB"/>
    <w:rsid w:val="6B524E15"/>
    <w:rsid w:val="6B53751E"/>
    <w:rsid w:val="6B552FA7"/>
    <w:rsid w:val="6B576059"/>
    <w:rsid w:val="6B6C68F1"/>
    <w:rsid w:val="6B70356B"/>
    <w:rsid w:val="6B76642F"/>
    <w:rsid w:val="6B7F12E5"/>
    <w:rsid w:val="6B7F67E4"/>
    <w:rsid w:val="6B8359E9"/>
    <w:rsid w:val="6B8579B3"/>
    <w:rsid w:val="6B8B7888"/>
    <w:rsid w:val="6B945E48"/>
    <w:rsid w:val="6BA131EF"/>
    <w:rsid w:val="6BBB33D4"/>
    <w:rsid w:val="6BBD26FA"/>
    <w:rsid w:val="6BC4672D"/>
    <w:rsid w:val="6BC77FCB"/>
    <w:rsid w:val="6BC93D43"/>
    <w:rsid w:val="6BCA186A"/>
    <w:rsid w:val="6BCC55E2"/>
    <w:rsid w:val="6BD076FD"/>
    <w:rsid w:val="6BD35F2D"/>
    <w:rsid w:val="6BD91A6A"/>
    <w:rsid w:val="6BDD3803"/>
    <w:rsid w:val="6BE272A9"/>
    <w:rsid w:val="6BEB400C"/>
    <w:rsid w:val="6BED3748"/>
    <w:rsid w:val="6BF30DC0"/>
    <w:rsid w:val="6BF40694"/>
    <w:rsid w:val="6BF505CF"/>
    <w:rsid w:val="6BFB1A23"/>
    <w:rsid w:val="6BFD39ED"/>
    <w:rsid w:val="6C0D009B"/>
    <w:rsid w:val="6C1256EA"/>
    <w:rsid w:val="6C150D37"/>
    <w:rsid w:val="6C215EC8"/>
    <w:rsid w:val="6C24541E"/>
    <w:rsid w:val="6C2B055A"/>
    <w:rsid w:val="6C2D2B4F"/>
    <w:rsid w:val="6C376EFF"/>
    <w:rsid w:val="6C3C2767"/>
    <w:rsid w:val="6C3D203B"/>
    <w:rsid w:val="6C4038DA"/>
    <w:rsid w:val="6C482BE4"/>
    <w:rsid w:val="6C4B57CE"/>
    <w:rsid w:val="6C4C04D0"/>
    <w:rsid w:val="6C4E4B32"/>
    <w:rsid w:val="6C513046"/>
    <w:rsid w:val="6C53185F"/>
    <w:rsid w:val="6C5A0E3F"/>
    <w:rsid w:val="6C5C6966"/>
    <w:rsid w:val="6C5D623A"/>
    <w:rsid w:val="6C5F1FB2"/>
    <w:rsid w:val="6C636C38"/>
    <w:rsid w:val="6C6475C8"/>
    <w:rsid w:val="6C691082"/>
    <w:rsid w:val="6C6D0B73"/>
    <w:rsid w:val="6C711CE5"/>
    <w:rsid w:val="6C7F2654"/>
    <w:rsid w:val="6C7F759F"/>
    <w:rsid w:val="6C823EF2"/>
    <w:rsid w:val="6C847C6A"/>
    <w:rsid w:val="6C8934D3"/>
    <w:rsid w:val="6C8D4D71"/>
    <w:rsid w:val="6C8E6D3B"/>
    <w:rsid w:val="6C937EAD"/>
    <w:rsid w:val="6C944351"/>
    <w:rsid w:val="6C976C1F"/>
    <w:rsid w:val="6C9D0D2C"/>
    <w:rsid w:val="6CA67BE1"/>
    <w:rsid w:val="6CB22A29"/>
    <w:rsid w:val="6CB57E24"/>
    <w:rsid w:val="6CB95B66"/>
    <w:rsid w:val="6CC1531E"/>
    <w:rsid w:val="6CC31031"/>
    <w:rsid w:val="6CD04C5E"/>
    <w:rsid w:val="6CD63F13"/>
    <w:rsid w:val="6CD7423E"/>
    <w:rsid w:val="6CD96208"/>
    <w:rsid w:val="6CE07C4E"/>
    <w:rsid w:val="6CE4695B"/>
    <w:rsid w:val="6CED0B29"/>
    <w:rsid w:val="6CF21078"/>
    <w:rsid w:val="6CF92406"/>
    <w:rsid w:val="6CF96423"/>
    <w:rsid w:val="6CFA5B92"/>
    <w:rsid w:val="6D013069"/>
    <w:rsid w:val="6D022E48"/>
    <w:rsid w:val="6D09091E"/>
    <w:rsid w:val="6D156B14"/>
    <w:rsid w:val="6D192AA9"/>
    <w:rsid w:val="6D1F586D"/>
    <w:rsid w:val="6D21195D"/>
    <w:rsid w:val="6D2857BB"/>
    <w:rsid w:val="6D2F407A"/>
    <w:rsid w:val="6D2F5E28"/>
    <w:rsid w:val="6D3276C6"/>
    <w:rsid w:val="6D335239"/>
    <w:rsid w:val="6D3E250F"/>
    <w:rsid w:val="6D401DE3"/>
    <w:rsid w:val="6D413DAD"/>
    <w:rsid w:val="6D417909"/>
    <w:rsid w:val="6D4F0278"/>
    <w:rsid w:val="6D543AE1"/>
    <w:rsid w:val="6D5835D1"/>
    <w:rsid w:val="6D5B0C2D"/>
    <w:rsid w:val="6D5B6C1D"/>
    <w:rsid w:val="6D5D5F4C"/>
    <w:rsid w:val="6D631F76"/>
    <w:rsid w:val="6D6A7E6A"/>
    <w:rsid w:val="6D6B4986"/>
    <w:rsid w:val="6D7F3300"/>
    <w:rsid w:val="6D8048D6"/>
    <w:rsid w:val="6D872B7A"/>
    <w:rsid w:val="6D8819DC"/>
    <w:rsid w:val="6D8B6DD7"/>
    <w:rsid w:val="6D9B21BC"/>
    <w:rsid w:val="6D9D5CCB"/>
    <w:rsid w:val="6DA852E7"/>
    <w:rsid w:val="6DAE1443"/>
    <w:rsid w:val="6DB34098"/>
    <w:rsid w:val="6DB545B6"/>
    <w:rsid w:val="6DB91B96"/>
    <w:rsid w:val="6DC01176"/>
    <w:rsid w:val="6DC10C02"/>
    <w:rsid w:val="6DD93FE6"/>
    <w:rsid w:val="6DE02FB4"/>
    <w:rsid w:val="6DED51DF"/>
    <w:rsid w:val="6DEF3809"/>
    <w:rsid w:val="6DF16F3B"/>
    <w:rsid w:val="6DF46E6E"/>
    <w:rsid w:val="6DF606F4"/>
    <w:rsid w:val="6E02452A"/>
    <w:rsid w:val="6E041063"/>
    <w:rsid w:val="6E0F08B4"/>
    <w:rsid w:val="6E1B015A"/>
    <w:rsid w:val="6E2522C1"/>
    <w:rsid w:val="6E274D51"/>
    <w:rsid w:val="6E2C05BA"/>
    <w:rsid w:val="6E306C14"/>
    <w:rsid w:val="6E3631E6"/>
    <w:rsid w:val="6E3B25AB"/>
    <w:rsid w:val="6E4452E3"/>
    <w:rsid w:val="6E4B67FC"/>
    <w:rsid w:val="6E514CED"/>
    <w:rsid w:val="6E5F44EB"/>
    <w:rsid w:val="6E6935BC"/>
    <w:rsid w:val="6E6B2E90"/>
    <w:rsid w:val="6E7066F8"/>
    <w:rsid w:val="6E761835"/>
    <w:rsid w:val="6E775C2D"/>
    <w:rsid w:val="6E85149D"/>
    <w:rsid w:val="6E861409"/>
    <w:rsid w:val="6E934195"/>
    <w:rsid w:val="6E985C4F"/>
    <w:rsid w:val="6E9D3265"/>
    <w:rsid w:val="6E9D5013"/>
    <w:rsid w:val="6E9E5166"/>
    <w:rsid w:val="6EA55897"/>
    <w:rsid w:val="6EAB4D26"/>
    <w:rsid w:val="6EB365E5"/>
    <w:rsid w:val="6EB563D5"/>
    <w:rsid w:val="6EBD7464"/>
    <w:rsid w:val="6EBE56B6"/>
    <w:rsid w:val="6EBF0130"/>
    <w:rsid w:val="6EC6456A"/>
    <w:rsid w:val="6ECF3FD1"/>
    <w:rsid w:val="6ED07197"/>
    <w:rsid w:val="6ED547AD"/>
    <w:rsid w:val="6ED92677"/>
    <w:rsid w:val="6EDA6DB9"/>
    <w:rsid w:val="6EDB549D"/>
    <w:rsid w:val="6EDF387E"/>
    <w:rsid w:val="6EE7766E"/>
    <w:rsid w:val="6EE844E0"/>
    <w:rsid w:val="6EE90259"/>
    <w:rsid w:val="6EEB3FD1"/>
    <w:rsid w:val="6EF01245"/>
    <w:rsid w:val="6EF235B1"/>
    <w:rsid w:val="6EF70BC7"/>
    <w:rsid w:val="6EF74B77"/>
    <w:rsid w:val="6F060E0B"/>
    <w:rsid w:val="6F0E7CBF"/>
    <w:rsid w:val="6F123510"/>
    <w:rsid w:val="6F130BA6"/>
    <w:rsid w:val="6F1572A0"/>
    <w:rsid w:val="6F1B5EF1"/>
    <w:rsid w:val="6F1E6154"/>
    <w:rsid w:val="6F225983"/>
    <w:rsid w:val="6F23376B"/>
    <w:rsid w:val="6F246DCF"/>
    <w:rsid w:val="6F281BED"/>
    <w:rsid w:val="6F286FD3"/>
    <w:rsid w:val="6F2C3855"/>
    <w:rsid w:val="6F300779"/>
    <w:rsid w:val="6F32398A"/>
    <w:rsid w:val="6F3A6C2B"/>
    <w:rsid w:val="6F4638FD"/>
    <w:rsid w:val="6F4B0F13"/>
    <w:rsid w:val="6F4D6A39"/>
    <w:rsid w:val="6F51652A"/>
    <w:rsid w:val="6F543924"/>
    <w:rsid w:val="6F696007"/>
    <w:rsid w:val="6F7E6BF3"/>
    <w:rsid w:val="6F8166E3"/>
    <w:rsid w:val="6F8277B8"/>
    <w:rsid w:val="6F85473E"/>
    <w:rsid w:val="6F8700D0"/>
    <w:rsid w:val="6F914B78"/>
    <w:rsid w:val="6F9A1EDB"/>
    <w:rsid w:val="6FA06B69"/>
    <w:rsid w:val="6FA6604D"/>
    <w:rsid w:val="6FB03689"/>
    <w:rsid w:val="6FBF39C6"/>
    <w:rsid w:val="6FC17349"/>
    <w:rsid w:val="6FC860C0"/>
    <w:rsid w:val="6FCA73A4"/>
    <w:rsid w:val="6FD40F09"/>
    <w:rsid w:val="6FD44A65"/>
    <w:rsid w:val="6FDC5CF4"/>
    <w:rsid w:val="6FEC1DAE"/>
    <w:rsid w:val="6FF375E1"/>
    <w:rsid w:val="6FF76559"/>
    <w:rsid w:val="6FFC5590"/>
    <w:rsid w:val="6FFD220E"/>
    <w:rsid w:val="6FFE3B30"/>
    <w:rsid w:val="700215D2"/>
    <w:rsid w:val="70074E3A"/>
    <w:rsid w:val="701025DA"/>
    <w:rsid w:val="70152748"/>
    <w:rsid w:val="701632CF"/>
    <w:rsid w:val="701B111F"/>
    <w:rsid w:val="70243646"/>
    <w:rsid w:val="703379DD"/>
    <w:rsid w:val="70383246"/>
    <w:rsid w:val="703A4A45"/>
    <w:rsid w:val="70497751"/>
    <w:rsid w:val="704B11CB"/>
    <w:rsid w:val="704D23D2"/>
    <w:rsid w:val="705E713F"/>
    <w:rsid w:val="7064403B"/>
    <w:rsid w:val="70651B61"/>
    <w:rsid w:val="70675595"/>
    <w:rsid w:val="70692FCD"/>
    <w:rsid w:val="706D1DD0"/>
    <w:rsid w:val="706F63D1"/>
    <w:rsid w:val="707D334E"/>
    <w:rsid w:val="707D6EAA"/>
    <w:rsid w:val="70802EAC"/>
    <w:rsid w:val="7082318D"/>
    <w:rsid w:val="70856B87"/>
    <w:rsid w:val="70871AD7"/>
    <w:rsid w:val="70893AA1"/>
    <w:rsid w:val="708C3591"/>
    <w:rsid w:val="708F35D8"/>
    <w:rsid w:val="70952446"/>
    <w:rsid w:val="709B37D5"/>
    <w:rsid w:val="70A24B63"/>
    <w:rsid w:val="70A307A5"/>
    <w:rsid w:val="70A601F2"/>
    <w:rsid w:val="70AA5E71"/>
    <w:rsid w:val="70B84386"/>
    <w:rsid w:val="70BA6795"/>
    <w:rsid w:val="70BC5C25"/>
    <w:rsid w:val="70C26FB3"/>
    <w:rsid w:val="70C76378"/>
    <w:rsid w:val="70CE71A6"/>
    <w:rsid w:val="70D34D1C"/>
    <w:rsid w:val="70D527EE"/>
    <w:rsid w:val="70D54F38"/>
    <w:rsid w:val="70E64A50"/>
    <w:rsid w:val="70E76A1A"/>
    <w:rsid w:val="70E909E4"/>
    <w:rsid w:val="70F058CE"/>
    <w:rsid w:val="70F65B3C"/>
    <w:rsid w:val="70FD7FEB"/>
    <w:rsid w:val="710002EF"/>
    <w:rsid w:val="7104581E"/>
    <w:rsid w:val="71096990"/>
    <w:rsid w:val="711041C2"/>
    <w:rsid w:val="71257C6E"/>
    <w:rsid w:val="71304114"/>
    <w:rsid w:val="71371687"/>
    <w:rsid w:val="71374018"/>
    <w:rsid w:val="71381023"/>
    <w:rsid w:val="71456EDC"/>
    <w:rsid w:val="714A1482"/>
    <w:rsid w:val="714D2D21"/>
    <w:rsid w:val="7150636D"/>
    <w:rsid w:val="7153093F"/>
    <w:rsid w:val="715776FB"/>
    <w:rsid w:val="715B5300"/>
    <w:rsid w:val="715B71FA"/>
    <w:rsid w:val="715C3923"/>
    <w:rsid w:val="715C75E9"/>
    <w:rsid w:val="715F2A54"/>
    <w:rsid w:val="71706A0F"/>
    <w:rsid w:val="71744751"/>
    <w:rsid w:val="71786E4C"/>
    <w:rsid w:val="717C1858"/>
    <w:rsid w:val="717E112C"/>
    <w:rsid w:val="718018F4"/>
    <w:rsid w:val="71866233"/>
    <w:rsid w:val="718D45E7"/>
    <w:rsid w:val="719E532A"/>
    <w:rsid w:val="71B44B4E"/>
    <w:rsid w:val="71B903B6"/>
    <w:rsid w:val="71B92164"/>
    <w:rsid w:val="71D074AE"/>
    <w:rsid w:val="71D10A6E"/>
    <w:rsid w:val="71D27F8A"/>
    <w:rsid w:val="71D90A58"/>
    <w:rsid w:val="71E03B95"/>
    <w:rsid w:val="71E847F7"/>
    <w:rsid w:val="71EA67C2"/>
    <w:rsid w:val="71F36E83"/>
    <w:rsid w:val="71F943D0"/>
    <w:rsid w:val="72017AEF"/>
    <w:rsid w:val="72031996"/>
    <w:rsid w:val="72054D8D"/>
    <w:rsid w:val="720C498A"/>
    <w:rsid w:val="720C6738"/>
    <w:rsid w:val="720D425E"/>
    <w:rsid w:val="720E27E4"/>
    <w:rsid w:val="72133F6A"/>
    <w:rsid w:val="72153141"/>
    <w:rsid w:val="72160667"/>
    <w:rsid w:val="72227D09"/>
    <w:rsid w:val="72281ACA"/>
    <w:rsid w:val="722B1454"/>
    <w:rsid w:val="722C6DDA"/>
    <w:rsid w:val="72323CC5"/>
    <w:rsid w:val="72343EE1"/>
    <w:rsid w:val="72345C8F"/>
    <w:rsid w:val="723B701D"/>
    <w:rsid w:val="724063E2"/>
    <w:rsid w:val="7242215A"/>
    <w:rsid w:val="724539F8"/>
    <w:rsid w:val="72487360"/>
    <w:rsid w:val="72553024"/>
    <w:rsid w:val="72564F56"/>
    <w:rsid w:val="7259599E"/>
    <w:rsid w:val="725B321B"/>
    <w:rsid w:val="725D7D25"/>
    <w:rsid w:val="726025A5"/>
    <w:rsid w:val="72695938"/>
    <w:rsid w:val="72734A09"/>
    <w:rsid w:val="727A0E5E"/>
    <w:rsid w:val="72804CD0"/>
    <w:rsid w:val="72842672"/>
    <w:rsid w:val="729B7ABC"/>
    <w:rsid w:val="72A921D9"/>
    <w:rsid w:val="72B017B9"/>
    <w:rsid w:val="72BB3CBA"/>
    <w:rsid w:val="72C139C6"/>
    <w:rsid w:val="72C2329A"/>
    <w:rsid w:val="72C658E2"/>
    <w:rsid w:val="72D07765"/>
    <w:rsid w:val="72D336FA"/>
    <w:rsid w:val="72D83B4F"/>
    <w:rsid w:val="72DD1E82"/>
    <w:rsid w:val="72DD45A4"/>
    <w:rsid w:val="72E256EB"/>
    <w:rsid w:val="72E70507"/>
    <w:rsid w:val="72E96793"/>
    <w:rsid w:val="72F33F62"/>
    <w:rsid w:val="72F86CBC"/>
    <w:rsid w:val="73005B71"/>
    <w:rsid w:val="73010267"/>
    <w:rsid w:val="730438B3"/>
    <w:rsid w:val="73056E64"/>
    <w:rsid w:val="73086754"/>
    <w:rsid w:val="73116E3A"/>
    <w:rsid w:val="73117D7E"/>
    <w:rsid w:val="73122968"/>
    <w:rsid w:val="731A4E85"/>
    <w:rsid w:val="731F5D5E"/>
    <w:rsid w:val="732301DD"/>
    <w:rsid w:val="73236316"/>
    <w:rsid w:val="73243F55"/>
    <w:rsid w:val="733221CE"/>
    <w:rsid w:val="73353A6C"/>
    <w:rsid w:val="733817AF"/>
    <w:rsid w:val="73397A01"/>
    <w:rsid w:val="7348346F"/>
    <w:rsid w:val="73520AC2"/>
    <w:rsid w:val="7352461E"/>
    <w:rsid w:val="73555EBD"/>
    <w:rsid w:val="735C549D"/>
    <w:rsid w:val="735D2FC3"/>
    <w:rsid w:val="735F0AE9"/>
    <w:rsid w:val="7361387E"/>
    <w:rsid w:val="7363682B"/>
    <w:rsid w:val="736425A4"/>
    <w:rsid w:val="7366709D"/>
    <w:rsid w:val="73697BBA"/>
    <w:rsid w:val="736B3932"/>
    <w:rsid w:val="736C04FB"/>
    <w:rsid w:val="736E6F7E"/>
    <w:rsid w:val="73793607"/>
    <w:rsid w:val="73845B12"/>
    <w:rsid w:val="738549F4"/>
    <w:rsid w:val="738642C8"/>
    <w:rsid w:val="73A259F4"/>
    <w:rsid w:val="73B06FFE"/>
    <w:rsid w:val="73B92ABB"/>
    <w:rsid w:val="73BC6F3F"/>
    <w:rsid w:val="73BF1EE0"/>
    <w:rsid w:val="73C04774"/>
    <w:rsid w:val="73C51AD5"/>
    <w:rsid w:val="73C764D5"/>
    <w:rsid w:val="73C933CD"/>
    <w:rsid w:val="73CC2623"/>
    <w:rsid w:val="73D72D76"/>
    <w:rsid w:val="73DC038C"/>
    <w:rsid w:val="73E3796C"/>
    <w:rsid w:val="73E43BD8"/>
    <w:rsid w:val="73EA4857"/>
    <w:rsid w:val="73EE7A1C"/>
    <w:rsid w:val="73EF6311"/>
    <w:rsid w:val="73F25E01"/>
    <w:rsid w:val="73F6144E"/>
    <w:rsid w:val="73F73418"/>
    <w:rsid w:val="73FB4CB6"/>
    <w:rsid w:val="73FC27DC"/>
    <w:rsid w:val="7400407A"/>
    <w:rsid w:val="740759EF"/>
    <w:rsid w:val="740B06B0"/>
    <w:rsid w:val="74123DAE"/>
    <w:rsid w:val="7413414E"/>
    <w:rsid w:val="74185868"/>
    <w:rsid w:val="741E09A4"/>
    <w:rsid w:val="741E793C"/>
    <w:rsid w:val="7420471D"/>
    <w:rsid w:val="74277859"/>
    <w:rsid w:val="74324B8E"/>
    <w:rsid w:val="7433607B"/>
    <w:rsid w:val="7434641A"/>
    <w:rsid w:val="743616D9"/>
    <w:rsid w:val="743E3EEE"/>
    <w:rsid w:val="744321B9"/>
    <w:rsid w:val="745148D6"/>
    <w:rsid w:val="74534AF2"/>
    <w:rsid w:val="7456013E"/>
    <w:rsid w:val="745E3944"/>
    <w:rsid w:val="745F66ED"/>
    <w:rsid w:val="74611013"/>
    <w:rsid w:val="74624D35"/>
    <w:rsid w:val="74712CBC"/>
    <w:rsid w:val="747131CA"/>
    <w:rsid w:val="74713E21"/>
    <w:rsid w:val="74716D26"/>
    <w:rsid w:val="74730CF0"/>
    <w:rsid w:val="74810E5E"/>
    <w:rsid w:val="748B7E3E"/>
    <w:rsid w:val="748F1E89"/>
    <w:rsid w:val="748F53FE"/>
    <w:rsid w:val="749710DC"/>
    <w:rsid w:val="749A0F26"/>
    <w:rsid w:val="74AD0C3E"/>
    <w:rsid w:val="74AE1D28"/>
    <w:rsid w:val="74AF5AA0"/>
    <w:rsid w:val="74B03CF2"/>
    <w:rsid w:val="74B24AE1"/>
    <w:rsid w:val="74B60BDD"/>
    <w:rsid w:val="74CE5F27"/>
    <w:rsid w:val="74D127CE"/>
    <w:rsid w:val="74D53759"/>
    <w:rsid w:val="74D6302D"/>
    <w:rsid w:val="74D63E21"/>
    <w:rsid w:val="74DB4C39"/>
    <w:rsid w:val="74DC4AE7"/>
    <w:rsid w:val="74EA0887"/>
    <w:rsid w:val="74EE0377"/>
    <w:rsid w:val="74F05498"/>
    <w:rsid w:val="74F82FA3"/>
    <w:rsid w:val="75116EC0"/>
    <w:rsid w:val="75175B20"/>
    <w:rsid w:val="751A116C"/>
    <w:rsid w:val="751F2C26"/>
    <w:rsid w:val="75226272"/>
    <w:rsid w:val="75264EE6"/>
    <w:rsid w:val="752737DC"/>
    <w:rsid w:val="75287D2D"/>
    <w:rsid w:val="75297601"/>
    <w:rsid w:val="752B15CB"/>
    <w:rsid w:val="752D5343"/>
    <w:rsid w:val="753F6470"/>
    <w:rsid w:val="754B57C9"/>
    <w:rsid w:val="754D1541"/>
    <w:rsid w:val="754D7793"/>
    <w:rsid w:val="75521015"/>
    <w:rsid w:val="75572FED"/>
    <w:rsid w:val="75637FC7"/>
    <w:rsid w:val="756E3266"/>
    <w:rsid w:val="757009A4"/>
    <w:rsid w:val="75706FDE"/>
    <w:rsid w:val="75774810"/>
    <w:rsid w:val="75812F99"/>
    <w:rsid w:val="75846316"/>
    <w:rsid w:val="75874327"/>
    <w:rsid w:val="758E56B6"/>
    <w:rsid w:val="759157D0"/>
    <w:rsid w:val="759233F8"/>
    <w:rsid w:val="759251A6"/>
    <w:rsid w:val="75986535"/>
    <w:rsid w:val="759B466C"/>
    <w:rsid w:val="759C4277"/>
    <w:rsid w:val="759C7DD3"/>
    <w:rsid w:val="75B72E5F"/>
    <w:rsid w:val="75BA14CD"/>
    <w:rsid w:val="75BB4709"/>
    <w:rsid w:val="75C17839"/>
    <w:rsid w:val="75C335B1"/>
    <w:rsid w:val="75D43A11"/>
    <w:rsid w:val="75DC06BE"/>
    <w:rsid w:val="75DC0B17"/>
    <w:rsid w:val="75E31EA6"/>
    <w:rsid w:val="75E4177A"/>
    <w:rsid w:val="75EF1A41"/>
    <w:rsid w:val="75F96FD3"/>
    <w:rsid w:val="760140DA"/>
    <w:rsid w:val="76093AD5"/>
    <w:rsid w:val="760B6D06"/>
    <w:rsid w:val="760D3186"/>
    <w:rsid w:val="76120095"/>
    <w:rsid w:val="76124539"/>
    <w:rsid w:val="76165DD7"/>
    <w:rsid w:val="761777BD"/>
    <w:rsid w:val="761C72F5"/>
    <w:rsid w:val="76254258"/>
    <w:rsid w:val="763224E5"/>
    <w:rsid w:val="76347D47"/>
    <w:rsid w:val="7635099D"/>
    <w:rsid w:val="763C3364"/>
    <w:rsid w:val="763E1393"/>
    <w:rsid w:val="7645046A"/>
    <w:rsid w:val="764861AD"/>
    <w:rsid w:val="76486327"/>
    <w:rsid w:val="764B1FC3"/>
    <w:rsid w:val="76516E0F"/>
    <w:rsid w:val="76595CC4"/>
    <w:rsid w:val="765A1A07"/>
    <w:rsid w:val="765D3A06"/>
    <w:rsid w:val="76634D94"/>
    <w:rsid w:val="76636B42"/>
    <w:rsid w:val="766703E1"/>
    <w:rsid w:val="76697065"/>
    <w:rsid w:val="766F34FC"/>
    <w:rsid w:val="766F3739"/>
    <w:rsid w:val="76732FC0"/>
    <w:rsid w:val="767856CA"/>
    <w:rsid w:val="76844168"/>
    <w:rsid w:val="7699330D"/>
    <w:rsid w:val="769E5DCD"/>
    <w:rsid w:val="769E7B7B"/>
    <w:rsid w:val="76AA29C3"/>
    <w:rsid w:val="76AA4771"/>
    <w:rsid w:val="76B2491B"/>
    <w:rsid w:val="76B2549B"/>
    <w:rsid w:val="76B81B19"/>
    <w:rsid w:val="76BD26F7"/>
    <w:rsid w:val="76BF021D"/>
    <w:rsid w:val="76C9109B"/>
    <w:rsid w:val="76CC293A"/>
    <w:rsid w:val="76CC356F"/>
    <w:rsid w:val="76DE49AA"/>
    <w:rsid w:val="76E557A9"/>
    <w:rsid w:val="76EA1012"/>
    <w:rsid w:val="76EA11A0"/>
    <w:rsid w:val="76EC08E6"/>
    <w:rsid w:val="76F51E90"/>
    <w:rsid w:val="7702635B"/>
    <w:rsid w:val="771A18F7"/>
    <w:rsid w:val="771B741D"/>
    <w:rsid w:val="771D16FB"/>
    <w:rsid w:val="77241CB6"/>
    <w:rsid w:val="772F1887"/>
    <w:rsid w:val="773D3837"/>
    <w:rsid w:val="773D55E5"/>
    <w:rsid w:val="773D7394"/>
    <w:rsid w:val="774750E3"/>
    <w:rsid w:val="77536BB7"/>
    <w:rsid w:val="775841CD"/>
    <w:rsid w:val="775A6197"/>
    <w:rsid w:val="775A7F45"/>
    <w:rsid w:val="775D7A36"/>
    <w:rsid w:val="7762504C"/>
    <w:rsid w:val="77627DFB"/>
    <w:rsid w:val="776808B4"/>
    <w:rsid w:val="776C165E"/>
    <w:rsid w:val="77762421"/>
    <w:rsid w:val="777728A5"/>
    <w:rsid w:val="777D59E2"/>
    <w:rsid w:val="777E65A3"/>
    <w:rsid w:val="777F5C76"/>
    <w:rsid w:val="77842560"/>
    <w:rsid w:val="779416A9"/>
    <w:rsid w:val="77974CF6"/>
    <w:rsid w:val="779A30DE"/>
    <w:rsid w:val="779A47E6"/>
    <w:rsid w:val="779C40BA"/>
    <w:rsid w:val="779F1DFC"/>
    <w:rsid w:val="77A05F80"/>
    <w:rsid w:val="77AF64E3"/>
    <w:rsid w:val="77B217C0"/>
    <w:rsid w:val="77B56B1F"/>
    <w:rsid w:val="77C16217"/>
    <w:rsid w:val="77C47AB5"/>
    <w:rsid w:val="77C6382D"/>
    <w:rsid w:val="77C655DB"/>
    <w:rsid w:val="77D2720E"/>
    <w:rsid w:val="77D50689"/>
    <w:rsid w:val="77D53A70"/>
    <w:rsid w:val="77E3618D"/>
    <w:rsid w:val="77E67A2B"/>
    <w:rsid w:val="77F05544"/>
    <w:rsid w:val="77F453D2"/>
    <w:rsid w:val="77FA4128"/>
    <w:rsid w:val="780A371A"/>
    <w:rsid w:val="780E2ADE"/>
    <w:rsid w:val="780F09F4"/>
    <w:rsid w:val="78177844"/>
    <w:rsid w:val="781E0F73"/>
    <w:rsid w:val="78231052"/>
    <w:rsid w:val="782642CC"/>
    <w:rsid w:val="782A3DBC"/>
    <w:rsid w:val="782A7B3F"/>
    <w:rsid w:val="782D10B8"/>
    <w:rsid w:val="7831514A"/>
    <w:rsid w:val="783469E8"/>
    <w:rsid w:val="78362761"/>
    <w:rsid w:val="78395DAD"/>
    <w:rsid w:val="783C5396"/>
    <w:rsid w:val="7840122F"/>
    <w:rsid w:val="78437A92"/>
    <w:rsid w:val="78462278"/>
    <w:rsid w:val="78471314"/>
    <w:rsid w:val="78623556"/>
    <w:rsid w:val="78682D0F"/>
    <w:rsid w:val="786911D0"/>
    <w:rsid w:val="786A240A"/>
    <w:rsid w:val="787212BF"/>
    <w:rsid w:val="788D119F"/>
    <w:rsid w:val="788D2940"/>
    <w:rsid w:val="789B0816"/>
    <w:rsid w:val="789C1370"/>
    <w:rsid w:val="78A148CA"/>
    <w:rsid w:val="78A14DF7"/>
    <w:rsid w:val="78A376CA"/>
    <w:rsid w:val="78A90480"/>
    <w:rsid w:val="78B212CA"/>
    <w:rsid w:val="78B82F24"/>
    <w:rsid w:val="78BB0EB8"/>
    <w:rsid w:val="78BF7EE1"/>
    <w:rsid w:val="78C23FF4"/>
    <w:rsid w:val="78C57641"/>
    <w:rsid w:val="78CA10FB"/>
    <w:rsid w:val="78D14237"/>
    <w:rsid w:val="78DF6A5D"/>
    <w:rsid w:val="78E4686E"/>
    <w:rsid w:val="78F341AE"/>
    <w:rsid w:val="78F85C68"/>
    <w:rsid w:val="78FA19E0"/>
    <w:rsid w:val="79030169"/>
    <w:rsid w:val="790A315A"/>
    <w:rsid w:val="790C34C1"/>
    <w:rsid w:val="79142376"/>
    <w:rsid w:val="791A5BDE"/>
    <w:rsid w:val="791B1956"/>
    <w:rsid w:val="791D3589"/>
    <w:rsid w:val="792E51E6"/>
    <w:rsid w:val="792F38D8"/>
    <w:rsid w:val="79346574"/>
    <w:rsid w:val="79352A18"/>
    <w:rsid w:val="7936053E"/>
    <w:rsid w:val="793D14B7"/>
    <w:rsid w:val="79401F30"/>
    <w:rsid w:val="79490272"/>
    <w:rsid w:val="794E3ADA"/>
    <w:rsid w:val="795216AA"/>
    <w:rsid w:val="795767CD"/>
    <w:rsid w:val="796C1BCD"/>
    <w:rsid w:val="796E7CD8"/>
    <w:rsid w:val="79787359"/>
    <w:rsid w:val="79894B12"/>
    <w:rsid w:val="79907C4E"/>
    <w:rsid w:val="79933F60"/>
    <w:rsid w:val="799A0ACD"/>
    <w:rsid w:val="799D05BD"/>
    <w:rsid w:val="79A008DA"/>
    <w:rsid w:val="79A454A8"/>
    <w:rsid w:val="79B55907"/>
    <w:rsid w:val="79BC6C95"/>
    <w:rsid w:val="79CE0777"/>
    <w:rsid w:val="79D42387"/>
    <w:rsid w:val="79D71381"/>
    <w:rsid w:val="79E32474"/>
    <w:rsid w:val="79E56A30"/>
    <w:rsid w:val="79EB1329"/>
    <w:rsid w:val="79EF7239"/>
    <w:rsid w:val="79F301DD"/>
    <w:rsid w:val="79FD1A8F"/>
    <w:rsid w:val="7A036672"/>
    <w:rsid w:val="7A0C3D86"/>
    <w:rsid w:val="7A1A39BC"/>
    <w:rsid w:val="7A2605B3"/>
    <w:rsid w:val="7A272EDA"/>
    <w:rsid w:val="7A27526A"/>
    <w:rsid w:val="7A285C9F"/>
    <w:rsid w:val="7A301431"/>
    <w:rsid w:val="7A31557A"/>
    <w:rsid w:val="7A344B2E"/>
    <w:rsid w:val="7A3507F6"/>
    <w:rsid w:val="7A364017"/>
    <w:rsid w:val="7A3A74D0"/>
    <w:rsid w:val="7A4776B9"/>
    <w:rsid w:val="7A48677B"/>
    <w:rsid w:val="7A50583C"/>
    <w:rsid w:val="7A592736"/>
    <w:rsid w:val="7A59570F"/>
    <w:rsid w:val="7A5A501E"/>
    <w:rsid w:val="7A5E7D4D"/>
    <w:rsid w:val="7A5F5873"/>
    <w:rsid w:val="7A6A1938"/>
    <w:rsid w:val="7A6B246A"/>
    <w:rsid w:val="7A7632E8"/>
    <w:rsid w:val="7A805F15"/>
    <w:rsid w:val="7A8265E1"/>
    <w:rsid w:val="7A910122"/>
    <w:rsid w:val="7A9D6AC7"/>
    <w:rsid w:val="7AAA2F92"/>
    <w:rsid w:val="7AAC4F5C"/>
    <w:rsid w:val="7AB25D42"/>
    <w:rsid w:val="7AB756AF"/>
    <w:rsid w:val="7AC878BC"/>
    <w:rsid w:val="7ACD0A2E"/>
    <w:rsid w:val="7ACD1214"/>
    <w:rsid w:val="7ACE4ED2"/>
    <w:rsid w:val="7AD24297"/>
    <w:rsid w:val="7ADD47AD"/>
    <w:rsid w:val="7AE5221C"/>
    <w:rsid w:val="7AE62031"/>
    <w:rsid w:val="7AEC35AA"/>
    <w:rsid w:val="7AEF309B"/>
    <w:rsid w:val="7AF76569"/>
    <w:rsid w:val="7AFB37ED"/>
    <w:rsid w:val="7B0338CD"/>
    <w:rsid w:val="7B04546D"/>
    <w:rsid w:val="7B081031"/>
    <w:rsid w:val="7B0F1047"/>
    <w:rsid w:val="7B14665D"/>
    <w:rsid w:val="7B160627"/>
    <w:rsid w:val="7B160FC2"/>
    <w:rsid w:val="7B164183"/>
    <w:rsid w:val="7B1B5717"/>
    <w:rsid w:val="7B220D7A"/>
    <w:rsid w:val="7B24580D"/>
    <w:rsid w:val="7B3656A6"/>
    <w:rsid w:val="7B3743BA"/>
    <w:rsid w:val="7B3D3B4B"/>
    <w:rsid w:val="7B3E36DA"/>
    <w:rsid w:val="7B3F192C"/>
    <w:rsid w:val="7B4707E1"/>
    <w:rsid w:val="7B4C229B"/>
    <w:rsid w:val="7B4F7695"/>
    <w:rsid w:val="7B566C76"/>
    <w:rsid w:val="7B5B0730"/>
    <w:rsid w:val="7B65510B"/>
    <w:rsid w:val="7B683586"/>
    <w:rsid w:val="7B686D42"/>
    <w:rsid w:val="7B6B0973"/>
    <w:rsid w:val="7B713320"/>
    <w:rsid w:val="7B72612C"/>
    <w:rsid w:val="7B762E74"/>
    <w:rsid w:val="7B7F61CD"/>
    <w:rsid w:val="7B802C10"/>
    <w:rsid w:val="7B841746"/>
    <w:rsid w:val="7B890DF9"/>
    <w:rsid w:val="7B892BA7"/>
    <w:rsid w:val="7B8D7AD7"/>
    <w:rsid w:val="7B9003DA"/>
    <w:rsid w:val="7B9854E0"/>
    <w:rsid w:val="7B9A05A5"/>
    <w:rsid w:val="7B9C1CE2"/>
    <w:rsid w:val="7BA2010D"/>
    <w:rsid w:val="7BA45C33"/>
    <w:rsid w:val="7BA93249"/>
    <w:rsid w:val="7BAE4F98"/>
    <w:rsid w:val="7BBD4F47"/>
    <w:rsid w:val="7BC462D5"/>
    <w:rsid w:val="7BC63DFB"/>
    <w:rsid w:val="7BCA229A"/>
    <w:rsid w:val="7BE40725"/>
    <w:rsid w:val="7BE61DA8"/>
    <w:rsid w:val="7BE91898"/>
    <w:rsid w:val="7BE95D3C"/>
    <w:rsid w:val="7BEE3352"/>
    <w:rsid w:val="7BF778E6"/>
    <w:rsid w:val="7BF81ADB"/>
    <w:rsid w:val="7BFA5853"/>
    <w:rsid w:val="7BFF2E69"/>
    <w:rsid w:val="7C014E34"/>
    <w:rsid w:val="7C0439FB"/>
    <w:rsid w:val="7C133248"/>
    <w:rsid w:val="7C1E2BE4"/>
    <w:rsid w:val="7C240B22"/>
    <w:rsid w:val="7C2B0F68"/>
    <w:rsid w:val="7C3378F6"/>
    <w:rsid w:val="7C380C3D"/>
    <w:rsid w:val="7C3A6597"/>
    <w:rsid w:val="7C3F595C"/>
    <w:rsid w:val="7C4371FA"/>
    <w:rsid w:val="7C570EF7"/>
    <w:rsid w:val="7C597451"/>
    <w:rsid w:val="7C667989"/>
    <w:rsid w:val="7C6B637A"/>
    <w:rsid w:val="7C6C5AC7"/>
    <w:rsid w:val="7C750667"/>
    <w:rsid w:val="7C8043E6"/>
    <w:rsid w:val="7C8A57DF"/>
    <w:rsid w:val="7C9663E2"/>
    <w:rsid w:val="7C9E2682"/>
    <w:rsid w:val="7CA103C5"/>
    <w:rsid w:val="7CA55A57"/>
    <w:rsid w:val="7CA659DB"/>
    <w:rsid w:val="7CA81753"/>
    <w:rsid w:val="7CA852AF"/>
    <w:rsid w:val="7CB76DD7"/>
    <w:rsid w:val="7CB77BE8"/>
    <w:rsid w:val="7CB836FA"/>
    <w:rsid w:val="7CB974BC"/>
    <w:rsid w:val="7CB97EF8"/>
    <w:rsid w:val="7CBC51FE"/>
    <w:rsid w:val="7CC6544B"/>
    <w:rsid w:val="7CC7607D"/>
    <w:rsid w:val="7CCE0F60"/>
    <w:rsid w:val="7CD63CCE"/>
    <w:rsid w:val="7CE4764A"/>
    <w:rsid w:val="7CE81B50"/>
    <w:rsid w:val="7CEB038B"/>
    <w:rsid w:val="7CED360A"/>
    <w:rsid w:val="7CF46746"/>
    <w:rsid w:val="7D0050EB"/>
    <w:rsid w:val="7D0239FF"/>
    <w:rsid w:val="7D0C7F34"/>
    <w:rsid w:val="7D0F2637"/>
    <w:rsid w:val="7D162B61"/>
    <w:rsid w:val="7D197F5B"/>
    <w:rsid w:val="7D2E7EAA"/>
    <w:rsid w:val="7D3F61BF"/>
    <w:rsid w:val="7D4476CE"/>
    <w:rsid w:val="7D5316BF"/>
    <w:rsid w:val="7D546782"/>
    <w:rsid w:val="7D5471E5"/>
    <w:rsid w:val="7D5E40CD"/>
    <w:rsid w:val="7D627B54"/>
    <w:rsid w:val="7D676C50"/>
    <w:rsid w:val="7D6A4C5A"/>
    <w:rsid w:val="7D6C452F"/>
    <w:rsid w:val="7D733B0F"/>
    <w:rsid w:val="7D791781"/>
    <w:rsid w:val="7D807847"/>
    <w:rsid w:val="7D8E6B9B"/>
    <w:rsid w:val="7D935F5F"/>
    <w:rsid w:val="7D9615AC"/>
    <w:rsid w:val="7D996146"/>
    <w:rsid w:val="7D9F711D"/>
    <w:rsid w:val="7DA04A72"/>
    <w:rsid w:val="7DA243F4"/>
    <w:rsid w:val="7DA939D5"/>
    <w:rsid w:val="7DB12889"/>
    <w:rsid w:val="7DB303AF"/>
    <w:rsid w:val="7DB67EA0"/>
    <w:rsid w:val="7DBA0C33"/>
    <w:rsid w:val="7DCB394B"/>
    <w:rsid w:val="7DCD56F2"/>
    <w:rsid w:val="7DCF34E9"/>
    <w:rsid w:val="7DD02D0F"/>
    <w:rsid w:val="7DD15C5F"/>
    <w:rsid w:val="7DD24CD9"/>
    <w:rsid w:val="7DD30A52"/>
    <w:rsid w:val="7DD547CA"/>
    <w:rsid w:val="7DDA3228"/>
    <w:rsid w:val="7DF05160"/>
    <w:rsid w:val="7DF2712A"/>
    <w:rsid w:val="7DF82266"/>
    <w:rsid w:val="7DF84014"/>
    <w:rsid w:val="7E07040C"/>
    <w:rsid w:val="7E0D228A"/>
    <w:rsid w:val="7E12157A"/>
    <w:rsid w:val="7E1370A0"/>
    <w:rsid w:val="7E152E18"/>
    <w:rsid w:val="7E1536A4"/>
    <w:rsid w:val="7E1626EC"/>
    <w:rsid w:val="7E17093E"/>
    <w:rsid w:val="7E171997"/>
    <w:rsid w:val="7E19208B"/>
    <w:rsid w:val="7E1E7F1F"/>
    <w:rsid w:val="7E235535"/>
    <w:rsid w:val="7E325390"/>
    <w:rsid w:val="7E3D5ECB"/>
    <w:rsid w:val="7E3F7E95"/>
    <w:rsid w:val="7E453CC5"/>
    <w:rsid w:val="7E494870"/>
    <w:rsid w:val="7E572CB5"/>
    <w:rsid w:val="7E573431"/>
    <w:rsid w:val="7E5F22E5"/>
    <w:rsid w:val="7E611BB9"/>
    <w:rsid w:val="7E6F3D13"/>
    <w:rsid w:val="7E70004F"/>
    <w:rsid w:val="7E70209A"/>
    <w:rsid w:val="7E715341"/>
    <w:rsid w:val="7E7318ED"/>
    <w:rsid w:val="7E736F2D"/>
    <w:rsid w:val="7E7B4876"/>
    <w:rsid w:val="7E814A27"/>
    <w:rsid w:val="7E837D82"/>
    <w:rsid w:val="7E851D4C"/>
    <w:rsid w:val="7E891110"/>
    <w:rsid w:val="7E89487A"/>
    <w:rsid w:val="7E896245"/>
    <w:rsid w:val="7E8A0946"/>
    <w:rsid w:val="7E925CCF"/>
    <w:rsid w:val="7E926217"/>
    <w:rsid w:val="7E955D07"/>
    <w:rsid w:val="7E9C0E44"/>
    <w:rsid w:val="7E9E696A"/>
    <w:rsid w:val="7EAD12A3"/>
    <w:rsid w:val="7EAF501B"/>
    <w:rsid w:val="7EB20667"/>
    <w:rsid w:val="7EB51F05"/>
    <w:rsid w:val="7EB77732"/>
    <w:rsid w:val="7EB95409"/>
    <w:rsid w:val="7EBC7738"/>
    <w:rsid w:val="7EC16AFC"/>
    <w:rsid w:val="7EC34622"/>
    <w:rsid w:val="7EC756E1"/>
    <w:rsid w:val="7ECB797B"/>
    <w:rsid w:val="7ED12402"/>
    <w:rsid w:val="7EF24F07"/>
    <w:rsid w:val="7EF73F52"/>
    <w:rsid w:val="7F001CE7"/>
    <w:rsid w:val="7F034416"/>
    <w:rsid w:val="7F062761"/>
    <w:rsid w:val="7F1103A8"/>
    <w:rsid w:val="7F1629A4"/>
    <w:rsid w:val="7F1A64F1"/>
    <w:rsid w:val="7F1B454B"/>
    <w:rsid w:val="7F1E3F4E"/>
    <w:rsid w:val="7F2257ED"/>
    <w:rsid w:val="7F2B3BC6"/>
    <w:rsid w:val="7F2F7F0A"/>
    <w:rsid w:val="7F364DF4"/>
    <w:rsid w:val="7F443559"/>
    <w:rsid w:val="7F485EDA"/>
    <w:rsid w:val="7F4E65E2"/>
    <w:rsid w:val="7F531E4A"/>
    <w:rsid w:val="7F5A0B41"/>
    <w:rsid w:val="7F721BA4"/>
    <w:rsid w:val="7F791185"/>
    <w:rsid w:val="7F7B4EFD"/>
    <w:rsid w:val="7F835A8D"/>
    <w:rsid w:val="7F871AF4"/>
    <w:rsid w:val="7F875650"/>
    <w:rsid w:val="7F9D357D"/>
    <w:rsid w:val="7FA206DC"/>
    <w:rsid w:val="7FA61889"/>
    <w:rsid w:val="7FB36BD1"/>
    <w:rsid w:val="7FBD72C3"/>
    <w:rsid w:val="7FBF128D"/>
    <w:rsid w:val="7FCE327F"/>
    <w:rsid w:val="7FCF14C3"/>
    <w:rsid w:val="7FD70693"/>
    <w:rsid w:val="7FDF548C"/>
    <w:rsid w:val="7FE24F7C"/>
    <w:rsid w:val="7FE47E50"/>
    <w:rsid w:val="7FEA3E31"/>
    <w:rsid w:val="7FEC5DFB"/>
    <w:rsid w:val="7FF479DA"/>
    <w:rsid w:val="7FF56A5D"/>
    <w:rsid w:val="7FF6636E"/>
    <w:rsid w:val="7FF8654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qFormat="1" w:uiPriority="0" w:semiHidden="0" w:name="Salutation"/>
    <w:lsdException w:qFormat="1" w:unhideWhenUsed="0" w:uiPriority="0" w:semiHidden="0" w:name="Date"/>
    <w:lsdException w:qFormat="1" w:uiPriority="0" w:semiHidden="0" w:name="Body Text First Indent"/>
    <w:lsdException w:qFormat="1" w:uiPriority="0" w:semiHidden="0" w:name="Body Text First Indent 2"/>
    <w:lsdException w:unhideWhenUsed="0" w:uiPriority="0" w:semiHidden="0" w:name="Note Heading"/>
    <w:lsdException w:qFormat="1" w:uiPriority="0" w:semiHidden="0" w:name="Body Text 2"/>
    <w:lsdException w:qFormat="1" w:uiPriority="0" w:semiHidden="0" w:name="Body Text 3"/>
    <w:lsdException w:qFormat="1" w:uiPriority="0" w:semiHidden="0" w:name="Body Text Indent 2"/>
    <w:lsdException w:qFormat="1" w:uiPriority="0" w:semiHidden="0" w:name="Body Text Indent 3"/>
    <w:lsdException w:qFormat="1" w:uiPriority="0" w:semiHidden="0" w:name="Block Text"/>
    <w:lsdException w:qFormat="1" w:uiPriority="99" w:semiHidden="0" w:name="Hyperlink"/>
    <w:lsdException w:qFormat="1" w:uiPriority="0" w:semiHidden="0" w:name="FollowedHyperlink"/>
    <w:lsdException w:qFormat="1" w:unhideWhenUsed="0" w:uiPriority="22" w:semiHidden="0" w:name="Strong"/>
    <w:lsdException w:qFormat="1" w:unhideWhenUsed="0" w:uiPriority="0" w:semiHidden="0" w:name="Emphasis"/>
    <w:lsdException w:qFormat="1"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qFormat="1"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qFormat="1"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3"/>
    <w:autoRedefine/>
    <w:qFormat/>
    <w:uiPriority w:val="0"/>
    <w:pPr>
      <w:keepNext/>
      <w:overflowPunct w:val="0"/>
      <w:snapToGrid w:val="0"/>
      <w:spacing w:before="120" w:after="160" w:line="259" w:lineRule="auto"/>
      <w:ind w:left="432" w:hanging="432"/>
      <w:outlineLvl w:val="0"/>
    </w:pPr>
    <w:rPr>
      <w:b/>
      <w:bCs/>
      <w:color w:val="000000"/>
      <w:kern w:val="44"/>
      <w:sz w:val="32"/>
      <w:szCs w:val="30"/>
    </w:rPr>
  </w:style>
  <w:style w:type="paragraph" w:styleId="4">
    <w:name w:val="heading 2"/>
    <w:basedOn w:val="1"/>
    <w:next w:val="1"/>
    <w:link w:val="64"/>
    <w:autoRedefine/>
    <w:qFormat/>
    <w:uiPriority w:val="0"/>
    <w:pPr>
      <w:keepNext/>
      <w:spacing w:before="50" w:beforeLines="50" w:after="50" w:afterLines="50"/>
      <w:jc w:val="left"/>
      <w:outlineLvl w:val="1"/>
    </w:pPr>
    <w:rPr>
      <w:b/>
      <w:sz w:val="30"/>
    </w:rPr>
  </w:style>
  <w:style w:type="paragraph" w:styleId="5">
    <w:name w:val="heading 3"/>
    <w:basedOn w:val="6"/>
    <w:next w:val="1"/>
    <w:link w:val="65"/>
    <w:autoRedefine/>
    <w:qFormat/>
    <w:uiPriority w:val="0"/>
    <w:pPr>
      <w:keepNext/>
      <w:keepLines/>
      <w:spacing w:before="120" w:after="120"/>
      <w:outlineLvl w:val="2"/>
    </w:pPr>
    <w:rPr>
      <w:b/>
      <w:bCs/>
      <w:sz w:val="30"/>
      <w:szCs w:val="32"/>
    </w:rPr>
  </w:style>
  <w:style w:type="paragraph" w:styleId="7">
    <w:name w:val="heading 4"/>
    <w:basedOn w:val="1"/>
    <w:next w:val="1"/>
    <w:link w:val="66"/>
    <w:autoRedefine/>
    <w:qFormat/>
    <w:uiPriority w:val="0"/>
    <w:pPr>
      <w:keepNext/>
      <w:spacing w:line="440" w:lineRule="exact"/>
      <w:ind w:left="-50" w:right="-50"/>
      <w:jc w:val="center"/>
      <w:outlineLvl w:val="3"/>
    </w:pPr>
    <w:rPr>
      <w:sz w:val="28"/>
    </w:rPr>
  </w:style>
  <w:style w:type="paragraph" w:styleId="8">
    <w:name w:val="heading 5"/>
    <w:basedOn w:val="1"/>
    <w:next w:val="1"/>
    <w:link w:val="67"/>
    <w:autoRedefine/>
    <w:qFormat/>
    <w:uiPriority w:val="0"/>
    <w:pPr>
      <w:keepNext/>
      <w:keepLines/>
      <w:spacing w:line="420" w:lineRule="exact"/>
      <w:ind w:firstLine="560" w:firstLineChars="200"/>
      <w:jc w:val="left"/>
      <w:outlineLvl w:val="4"/>
    </w:pPr>
    <w:rPr>
      <w:rFonts w:eastAsia="华文中宋"/>
      <w:bCs/>
      <w:sz w:val="28"/>
      <w:szCs w:val="28"/>
    </w:rPr>
  </w:style>
  <w:style w:type="paragraph" w:styleId="9">
    <w:name w:val="heading 7"/>
    <w:basedOn w:val="1"/>
    <w:next w:val="1"/>
    <w:link w:val="68"/>
    <w:autoRedefine/>
    <w:qFormat/>
    <w:uiPriority w:val="0"/>
    <w:pPr>
      <w:keepNext/>
      <w:numPr>
        <w:ilvl w:val="0"/>
        <w:numId w:val="1"/>
      </w:numPr>
      <w:spacing w:line="348" w:lineRule="auto"/>
      <w:outlineLvl w:val="6"/>
    </w:pPr>
    <w:rPr>
      <w:color w:val="000000"/>
      <w:sz w:val="28"/>
    </w:rPr>
  </w:style>
  <w:style w:type="character" w:default="1" w:styleId="46">
    <w:name w:val="Default Paragraph Font"/>
    <w:autoRedefine/>
    <w:semiHidden/>
    <w:qFormat/>
    <w:uiPriority w:val="0"/>
  </w:style>
  <w:style w:type="table" w:default="1" w:styleId="42">
    <w:name w:val="Normal Table"/>
    <w:autoRedefine/>
    <w:semiHidden/>
    <w:qFormat/>
    <w:uiPriority w:val="0"/>
    <w:tblPr>
      <w:tblCellMar>
        <w:top w:w="0" w:type="dxa"/>
        <w:left w:w="108" w:type="dxa"/>
        <w:bottom w:w="0" w:type="dxa"/>
        <w:right w:w="108" w:type="dxa"/>
      </w:tblCellMar>
    </w:tblPr>
  </w:style>
  <w:style w:type="paragraph" w:styleId="2">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line="320" w:lineRule="exact"/>
      <w:jc w:val="center"/>
    </w:pPr>
    <w:rPr>
      <w:rFonts w:ascii="Courier New" w:hAnsi="Courier New" w:eastAsia="宋体" w:cs="Times New Roman"/>
      <w:kern w:val="2"/>
      <w:sz w:val="24"/>
      <w:szCs w:val="24"/>
      <w:lang w:val="en-US" w:eastAsia="zh-CN" w:bidi="ar-SA"/>
    </w:rPr>
  </w:style>
  <w:style w:type="paragraph" w:styleId="6">
    <w:name w:val="List Paragraph"/>
    <w:basedOn w:val="1"/>
    <w:autoRedefine/>
    <w:qFormat/>
    <w:uiPriority w:val="34"/>
    <w:pPr>
      <w:ind w:firstLine="420" w:firstLineChars="200"/>
    </w:pPr>
  </w:style>
  <w:style w:type="paragraph" w:styleId="10">
    <w:name w:val="Normal Indent"/>
    <w:basedOn w:val="1"/>
    <w:link w:val="69"/>
    <w:autoRedefine/>
    <w:qFormat/>
    <w:uiPriority w:val="0"/>
    <w:pPr>
      <w:spacing w:line="520" w:lineRule="exact"/>
      <w:ind w:firstLine="624"/>
    </w:pPr>
    <w:rPr>
      <w:kern w:val="0"/>
      <w:sz w:val="28"/>
      <w:szCs w:val="20"/>
    </w:rPr>
  </w:style>
  <w:style w:type="paragraph" w:styleId="11">
    <w:name w:val="caption"/>
    <w:basedOn w:val="1"/>
    <w:next w:val="1"/>
    <w:link w:val="70"/>
    <w:autoRedefine/>
    <w:qFormat/>
    <w:uiPriority w:val="0"/>
    <w:pPr>
      <w:spacing w:before="152" w:after="160"/>
    </w:pPr>
    <w:rPr>
      <w:rFonts w:ascii="Arial" w:hAnsi="Arial" w:eastAsia="黑体" w:cs="Arial"/>
      <w:sz w:val="24"/>
      <w:szCs w:val="22"/>
    </w:rPr>
  </w:style>
  <w:style w:type="paragraph" w:styleId="12">
    <w:name w:val="Document Map"/>
    <w:basedOn w:val="1"/>
    <w:link w:val="71"/>
    <w:autoRedefine/>
    <w:unhideWhenUsed/>
    <w:qFormat/>
    <w:uiPriority w:val="0"/>
    <w:pPr>
      <w:shd w:val="clear" w:color="auto" w:fill="000080"/>
    </w:pPr>
  </w:style>
  <w:style w:type="paragraph" w:styleId="13">
    <w:name w:val="annotation text"/>
    <w:basedOn w:val="1"/>
    <w:link w:val="72"/>
    <w:autoRedefine/>
    <w:semiHidden/>
    <w:qFormat/>
    <w:uiPriority w:val="0"/>
    <w:pPr>
      <w:jc w:val="left"/>
    </w:pPr>
    <w:rPr>
      <w:kern w:val="0"/>
      <w:sz w:val="24"/>
      <w:szCs w:val="20"/>
    </w:rPr>
  </w:style>
  <w:style w:type="paragraph" w:styleId="14">
    <w:name w:val="Salutation"/>
    <w:basedOn w:val="1"/>
    <w:next w:val="1"/>
    <w:link w:val="73"/>
    <w:autoRedefine/>
    <w:unhideWhenUsed/>
    <w:qFormat/>
    <w:uiPriority w:val="0"/>
    <w:rPr>
      <w:b/>
      <w:sz w:val="36"/>
      <w:szCs w:val="36"/>
    </w:rPr>
  </w:style>
  <w:style w:type="paragraph" w:styleId="15">
    <w:name w:val="Body Text 3"/>
    <w:basedOn w:val="1"/>
    <w:link w:val="74"/>
    <w:autoRedefine/>
    <w:unhideWhenUsed/>
    <w:qFormat/>
    <w:uiPriority w:val="0"/>
    <w:pPr>
      <w:widowControl/>
      <w:jc w:val="center"/>
    </w:pPr>
    <w:rPr>
      <w:rFonts w:eastAsia="方正书宋简体"/>
      <w:w w:val="90"/>
      <w:kern w:val="0"/>
      <w:sz w:val="28"/>
      <w:szCs w:val="20"/>
    </w:rPr>
  </w:style>
  <w:style w:type="paragraph" w:styleId="16">
    <w:name w:val="Body Text"/>
    <w:basedOn w:val="1"/>
    <w:next w:val="1"/>
    <w:link w:val="75"/>
    <w:autoRedefine/>
    <w:qFormat/>
    <w:uiPriority w:val="0"/>
    <w:pPr>
      <w:widowControl/>
      <w:snapToGrid w:val="0"/>
      <w:spacing w:before="60" w:after="160" w:line="259" w:lineRule="auto"/>
      <w:ind w:right="113"/>
    </w:pPr>
    <w:rPr>
      <w:kern w:val="0"/>
      <w:sz w:val="18"/>
      <w:szCs w:val="20"/>
    </w:rPr>
  </w:style>
  <w:style w:type="paragraph" w:styleId="17">
    <w:name w:val="Body Text Indent"/>
    <w:basedOn w:val="1"/>
    <w:link w:val="60"/>
    <w:autoRedefine/>
    <w:qFormat/>
    <w:uiPriority w:val="0"/>
    <w:pPr>
      <w:spacing w:after="120"/>
      <w:ind w:left="420" w:leftChars="200"/>
    </w:pPr>
    <w:rPr>
      <w:kern w:val="0"/>
      <w:sz w:val="24"/>
      <w:szCs w:val="20"/>
    </w:rPr>
  </w:style>
  <w:style w:type="paragraph" w:styleId="18">
    <w:name w:val="Block Text"/>
    <w:basedOn w:val="1"/>
    <w:autoRedefine/>
    <w:unhideWhenUsed/>
    <w:qFormat/>
    <w:uiPriority w:val="0"/>
    <w:pPr>
      <w:spacing w:line="360" w:lineRule="exact"/>
      <w:ind w:left="105" w:leftChars="50" w:right="105" w:rightChars="50"/>
    </w:pPr>
    <w:rPr>
      <w:sz w:val="24"/>
    </w:rPr>
  </w:style>
  <w:style w:type="paragraph" w:styleId="19">
    <w:name w:val="toc 3"/>
    <w:basedOn w:val="1"/>
    <w:next w:val="1"/>
    <w:autoRedefine/>
    <w:qFormat/>
    <w:uiPriority w:val="39"/>
    <w:pPr>
      <w:ind w:left="840" w:leftChars="400"/>
    </w:pPr>
  </w:style>
  <w:style w:type="paragraph" w:styleId="20">
    <w:name w:val="Plain Text"/>
    <w:basedOn w:val="1"/>
    <w:link w:val="76"/>
    <w:autoRedefine/>
    <w:qFormat/>
    <w:uiPriority w:val="0"/>
    <w:rPr>
      <w:rFonts w:ascii="宋体" w:hAnsi="Courier New" w:cs="Courier New"/>
      <w:szCs w:val="21"/>
    </w:rPr>
  </w:style>
  <w:style w:type="paragraph" w:styleId="21">
    <w:name w:val="List Bullet 5"/>
    <w:basedOn w:val="1"/>
    <w:autoRedefine/>
    <w:qFormat/>
    <w:uiPriority w:val="0"/>
    <w:pPr>
      <w:numPr>
        <w:ilvl w:val="0"/>
        <w:numId w:val="2"/>
      </w:numPr>
    </w:pPr>
  </w:style>
  <w:style w:type="paragraph" w:styleId="22">
    <w:name w:val="Date"/>
    <w:basedOn w:val="1"/>
    <w:next w:val="1"/>
    <w:link w:val="77"/>
    <w:autoRedefine/>
    <w:qFormat/>
    <w:uiPriority w:val="0"/>
    <w:pPr>
      <w:ind w:left="100" w:leftChars="2500"/>
    </w:pPr>
    <w:rPr>
      <w:kern w:val="0"/>
      <w:sz w:val="24"/>
      <w:szCs w:val="20"/>
    </w:rPr>
  </w:style>
  <w:style w:type="paragraph" w:styleId="23">
    <w:name w:val="Body Text Indent 2"/>
    <w:basedOn w:val="1"/>
    <w:link w:val="78"/>
    <w:autoRedefine/>
    <w:unhideWhenUsed/>
    <w:qFormat/>
    <w:uiPriority w:val="0"/>
    <w:pPr>
      <w:spacing w:after="120" w:line="480" w:lineRule="auto"/>
      <w:ind w:left="420" w:leftChars="200"/>
    </w:pPr>
  </w:style>
  <w:style w:type="paragraph" w:styleId="24">
    <w:name w:val="Balloon Text"/>
    <w:basedOn w:val="1"/>
    <w:link w:val="79"/>
    <w:autoRedefine/>
    <w:semiHidden/>
    <w:qFormat/>
    <w:uiPriority w:val="0"/>
    <w:rPr>
      <w:kern w:val="0"/>
      <w:sz w:val="18"/>
      <w:szCs w:val="20"/>
    </w:rPr>
  </w:style>
  <w:style w:type="paragraph" w:styleId="25">
    <w:name w:val="footer"/>
    <w:basedOn w:val="1"/>
    <w:link w:val="80"/>
    <w:autoRedefine/>
    <w:qFormat/>
    <w:uiPriority w:val="99"/>
    <w:pPr>
      <w:tabs>
        <w:tab w:val="center" w:pos="4153"/>
        <w:tab w:val="right" w:pos="8306"/>
      </w:tabs>
      <w:snapToGrid w:val="0"/>
      <w:jc w:val="left"/>
    </w:pPr>
    <w:rPr>
      <w:kern w:val="0"/>
      <w:sz w:val="18"/>
      <w:szCs w:val="20"/>
    </w:rPr>
  </w:style>
  <w:style w:type="paragraph" w:styleId="26">
    <w:name w:val="header"/>
    <w:basedOn w:val="1"/>
    <w:next w:val="27"/>
    <w:link w:val="61"/>
    <w:autoRedefine/>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27">
    <w:name w:val="样式5"/>
    <w:basedOn w:val="1"/>
    <w:autoRedefine/>
    <w:qFormat/>
    <w:uiPriority w:val="0"/>
    <w:pPr>
      <w:spacing w:before="0" w:after="0" w:line="380" w:lineRule="exact"/>
      <w:ind w:firstLine="566" w:firstLineChars="202"/>
    </w:pPr>
    <w:rPr>
      <w:rFonts w:eastAsia="华文行楷"/>
    </w:rPr>
  </w:style>
  <w:style w:type="paragraph" w:styleId="28">
    <w:name w:val="toc 1"/>
    <w:basedOn w:val="1"/>
    <w:next w:val="1"/>
    <w:autoRedefine/>
    <w:unhideWhenUsed/>
    <w:qFormat/>
    <w:uiPriority w:val="39"/>
    <w:pPr>
      <w:tabs>
        <w:tab w:val="right" w:leader="dot" w:pos="9459"/>
      </w:tabs>
      <w:adjustRightInd w:val="0"/>
      <w:snapToGrid w:val="0"/>
      <w:spacing w:line="560" w:lineRule="exact"/>
    </w:pPr>
    <w:rPr>
      <w:w w:val="90"/>
      <w:sz w:val="28"/>
      <w:szCs w:val="32"/>
    </w:rPr>
  </w:style>
  <w:style w:type="paragraph" w:styleId="29">
    <w:name w:val="List"/>
    <w:basedOn w:val="1"/>
    <w:next w:val="16"/>
    <w:autoRedefine/>
    <w:unhideWhenUsed/>
    <w:qFormat/>
    <w:uiPriority w:val="0"/>
    <w:pPr>
      <w:ind w:left="200" w:hanging="200" w:hangingChars="200"/>
    </w:pPr>
  </w:style>
  <w:style w:type="paragraph" w:styleId="30">
    <w:name w:val="toc 6"/>
    <w:next w:val="1"/>
    <w:qFormat/>
    <w:uiPriority w:val="0"/>
    <w:pPr>
      <w:wordWrap w:val="0"/>
      <w:ind w:left="1700"/>
      <w:jc w:val="both"/>
    </w:pPr>
    <w:rPr>
      <w:rFonts w:ascii="Times New Roman" w:hAnsi="Times New Roman" w:eastAsia="宋体" w:cs="Times New Roman"/>
      <w:sz w:val="21"/>
      <w:lang w:val="en-US" w:eastAsia="zh-CN" w:bidi="ar-SA"/>
    </w:rPr>
  </w:style>
  <w:style w:type="paragraph" w:styleId="31">
    <w:name w:val="Body Text Indent 3"/>
    <w:basedOn w:val="1"/>
    <w:link w:val="81"/>
    <w:autoRedefine/>
    <w:unhideWhenUsed/>
    <w:qFormat/>
    <w:uiPriority w:val="0"/>
    <w:pPr>
      <w:spacing w:line="560" w:lineRule="exact"/>
      <w:ind w:firstLine="560" w:firstLineChars="200"/>
    </w:pPr>
    <w:rPr>
      <w:sz w:val="28"/>
    </w:rPr>
  </w:style>
  <w:style w:type="paragraph" w:styleId="32">
    <w:name w:val="toc 2"/>
    <w:basedOn w:val="1"/>
    <w:next w:val="1"/>
    <w:autoRedefine/>
    <w:qFormat/>
    <w:uiPriority w:val="39"/>
    <w:pPr>
      <w:ind w:left="420" w:leftChars="200"/>
    </w:pPr>
  </w:style>
  <w:style w:type="paragraph" w:styleId="33">
    <w:name w:val="Body Text 2"/>
    <w:basedOn w:val="1"/>
    <w:link w:val="82"/>
    <w:autoRedefine/>
    <w:unhideWhenUsed/>
    <w:qFormat/>
    <w:uiPriority w:val="0"/>
    <w:rPr>
      <w:sz w:val="24"/>
    </w:rPr>
  </w:style>
  <w:style w:type="paragraph" w:styleId="34">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35">
    <w:name w:val="HTML Preformatted"/>
    <w:basedOn w:val="1"/>
    <w:link w:val="83"/>
    <w:autoRedefine/>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6">
    <w:name w:val="Normal (Web)"/>
    <w:basedOn w:val="1"/>
    <w:link w:val="84"/>
    <w:autoRedefine/>
    <w:qFormat/>
    <w:uiPriority w:val="99"/>
    <w:pPr>
      <w:widowControl/>
      <w:spacing w:before="100" w:beforeAutospacing="1" w:after="100" w:afterAutospacing="1"/>
      <w:jc w:val="left"/>
    </w:pPr>
    <w:rPr>
      <w:rFonts w:ascii="宋体" w:hAnsi="宋体"/>
      <w:kern w:val="0"/>
      <w:sz w:val="24"/>
      <w:szCs w:val="20"/>
    </w:rPr>
  </w:style>
  <w:style w:type="paragraph" w:styleId="37">
    <w:name w:val="Title"/>
    <w:basedOn w:val="1"/>
    <w:next w:val="1"/>
    <w:link w:val="85"/>
    <w:autoRedefine/>
    <w:qFormat/>
    <w:uiPriority w:val="0"/>
    <w:pPr>
      <w:spacing w:before="240" w:after="60"/>
      <w:jc w:val="center"/>
      <w:outlineLvl w:val="0"/>
    </w:pPr>
    <w:rPr>
      <w:rFonts w:ascii="等线 Light" w:hAnsi="等线 Light" w:cs="Times New Roman"/>
      <w:b/>
      <w:bCs/>
      <w:sz w:val="32"/>
      <w:szCs w:val="32"/>
    </w:rPr>
  </w:style>
  <w:style w:type="paragraph" w:styleId="38">
    <w:name w:val="annotation subject"/>
    <w:basedOn w:val="13"/>
    <w:next w:val="13"/>
    <w:link w:val="86"/>
    <w:autoRedefine/>
    <w:semiHidden/>
    <w:qFormat/>
    <w:uiPriority w:val="0"/>
    <w:rPr>
      <w:b/>
      <w:sz w:val="24"/>
      <w:szCs w:val="20"/>
    </w:rPr>
  </w:style>
  <w:style w:type="paragraph" w:styleId="39">
    <w:name w:val="Body Text First Indent"/>
    <w:basedOn w:val="1"/>
    <w:next w:val="40"/>
    <w:link w:val="87"/>
    <w:autoRedefine/>
    <w:unhideWhenUsed/>
    <w:qFormat/>
    <w:uiPriority w:val="0"/>
    <w:pPr>
      <w:widowControl w:val="0"/>
      <w:snapToGrid/>
      <w:spacing w:before="0" w:after="120" w:line="240" w:lineRule="auto"/>
      <w:ind w:right="0" w:firstLine="420" w:firstLineChars="100"/>
    </w:pPr>
    <w:rPr>
      <w:kern w:val="2"/>
      <w:sz w:val="21"/>
      <w:szCs w:val="24"/>
    </w:rPr>
  </w:style>
  <w:style w:type="paragraph" w:customStyle="1" w:styleId="40">
    <w:name w:val="样式 正文首行缩进 + 首行缩进:  2 字符1"/>
    <w:basedOn w:val="1"/>
    <w:next w:val="28"/>
    <w:autoRedefine/>
    <w:qFormat/>
    <w:uiPriority w:val="0"/>
    <w:pPr>
      <w:spacing w:line="360" w:lineRule="auto"/>
      <w:ind w:firstLine="480" w:firstLineChars="200"/>
    </w:pPr>
    <w:rPr>
      <w:sz w:val="24"/>
    </w:rPr>
  </w:style>
  <w:style w:type="paragraph" w:styleId="41">
    <w:name w:val="Body Text First Indent 2"/>
    <w:basedOn w:val="17"/>
    <w:link w:val="62"/>
    <w:autoRedefine/>
    <w:unhideWhenUsed/>
    <w:qFormat/>
    <w:uiPriority w:val="0"/>
    <w:pPr>
      <w:ind w:firstLine="210" w:firstLineChars="200"/>
    </w:pPr>
    <w:rPr>
      <w:kern w:val="2"/>
      <w:sz w:val="21"/>
      <w:szCs w:val="24"/>
    </w:rPr>
  </w:style>
  <w:style w:type="table" w:styleId="43">
    <w:name w:val="Table Grid"/>
    <w:basedOn w:val="42"/>
    <w:autoRedefine/>
    <w:qFormat/>
    <w:uiPriority w:val="39"/>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4">
    <w:name w:val="Table Grid 1"/>
    <w:basedOn w:val="42"/>
    <w:autoRedefine/>
    <w:unhideWhenUsed/>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45">
    <w:name w:val="Table Grid 5"/>
    <w:basedOn w:val="42"/>
    <w:autoRedefine/>
    <w:unhideWhenUsed/>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tblPr/>
      <w:tcPr>
        <w:tcBorders>
          <w:top w:val="nil"/>
          <w:left w:val="single" w:color="000000" w:sz="12" w:space="0"/>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47">
    <w:name w:val="Strong"/>
    <w:autoRedefine/>
    <w:qFormat/>
    <w:uiPriority w:val="22"/>
    <w:rPr>
      <w:b/>
      <w:bCs/>
    </w:rPr>
  </w:style>
  <w:style w:type="character" w:styleId="48">
    <w:name w:val="page number"/>
    <w:autoRedefine/>
    <w:qFormat/>
    <w:uiPriority w:val="0"/>
  </w:style>
  <w:style w:type="character" w:styleId="49">
    <w:name w:val="FollowedHyperlink"/>
    <w:autoRedefine/>
    <w:unhideWhenUsed/>
    <w:qFormat/>
    <w:uiPriority w:val="0"/>
    <w:rPr>
      <w:color w:val="954F72"/>
      <w:u w:val="single"/>
    </w:rPr>
  </w:style>
  <w:style w:type="character" w:styleId="50">
    <w:name w:val="Hyperlink"/>
    <w:autoRedefine/>
    <w:unhideWhenUsed/>
    <w:qFormat/>
    <w:uiPriority w:val="99"/>
    <w:rPr>
      <w:color w:val="0000FF"/>
      <w:u w:val="single"/>
    </w:rPr>
  </w:style>
  <w:style w:type="character" w:styleId="51">
    <w:name w:val="annotation reference"/>
    <w:autoRedefine/>
    <w:semiHidden/>
    <w:qFormat/>
    <w:uiPriority w:val="0"/>
    <w:rPr>
      <w:sz w:val="21"/>
    </w:rPr>
  </w:style>
  <w:style w:type="paragraph" w:customStyle="1" w:styleId="52">
    <w:name w:val="Normal (Web)1"/>
    <w:basedOn w:val="1"/>
    <w:next w:val="53"/>
    <w:autoRedefine/>
    <w:qFormat/>
    <w:uiPriority w:val="0"/>
    <w:pPr>
      <w:widowControl/>
      <w:jc w:val="left"/>
    </w:pPr>
    <w:rPr>
      <w:rFonts w:ascii="宋体"/>
      <w:kern w:val="0"/>
      <w:sz w:val="24"/>
      <w:szCs w:val="21"/>
    </w:rPr>
  </w:style>
  <w:style w:type="paragraph" w:customStyle="1" w:styleId="53">
    <w:name w:val="Date1"/>
    <w:basedOn w:val="1"/>
    <w:next w:val="1"/>
    <w:autoRedefine/>
    <w:qFormat/>
    <w:uiPriority w:val="0"/>
    <w:pPr>
      <w:ind w:left="2500" w:leftChars="2500"/>
    </w:pPr>
  </w:style>
  <w:style w:type="paragraph" w:customStyle="1" w:styleId="54">
    <w:name w:val="Default"/>
    <w:basedOn w:val="55"/>
    <w:next w:val="1"/>
    <w:link w:val="88"/>
    <w:autoRedefine/>
    <w:qFormat/>
    <w:uiPriority w:val="99"/>
    <w:pPr>
      <w:widowControl w:val="0"/>
      <w:autoSpaceDE w:val="0"/>
      <w:autoSpaceDN w:val="0"/>
      <w:adjustRightInd w:val="0"/>
    </w:pPr>
    <w:rPr>
      <w:rFonts w:ascii="宋体" w:cs="宋体"/>
      <w:color w:val="000000"/>
      <w:sz w:val="24"/>
      <w:szCs w:val="24"/>
      <w:lang w:val="en-US" w:eastAsia="zh-CN" w:bidi="ar-SA"/>
    </w:rPr>
  </w:style>
  <w:style w:type="paragraph" w:customStyle="1" w:styleId="55">
    <w:name w:val="纯文本1"/>
    <w:basedOn w:val="1"/>
    <w:autoRedefine/>
    <w:qFormat/>
    <w:uiPriority w:val="99"/>
    <w:pPr>
      <w:adjustRightInd w:val="0"/>
    </w:pPr>
    <w:rPr>
      <w:rFonts w:ascii="宋体" w:hAnsi="Courier New" w:cs="宋体"/>
    </w:rPr>
  </w:style>
  <w:style w:type="paragraph" w:customStyle="1" w:styleId="56">
    <w:name w:val="样式 正文文本缩进 + 行距: 1.5 倍行距"/>
    <w:basedOn w:val="17"/>
    <w:autoRedefine/>
    <w:qFormat/>
    <w:uiPriority w:val="0"/>
    <w:pPr>
      <w:spacing w:after="120"/>
      <w:ind w:left="90" w:leftChars="32" w:firstLine="560" w:firstLineChars="200"/>
    </w:pPr>
    <w:rPr>
      <w:rFonts w:cs="宋体"/>
    </w:rPr>
  </w:style>
  <w:style w:type="paragraph" w:customStyle="1" w:styleId="57">
    <w:name w:val="baby-正文"/>
    <w:basedOn w:val="16"/>
    <w:next w:val="24"/>
    <w:autoRedefine/>
    <w:qFormat/>
    <w:uiPriority w:val="0"/>
    <w:rPr>
      <w:rFonts w:ascii="仿宋_GB2312" w:hAnsi="宋体"/>
      <w:bCs/>
      <w:sz w:val="30"/>
    </w:rPr>
  </w:style>
  <w:style w:type="paragraph" w:customStyle="1" w:styleId="58">
    <w:name w:val="列出段落1"/>
    <w:basedOn w:val="1"/>
    <w:autoRedefine/>
    <w:qFormat/>
    <w:uiPriority w:val="34"/>
    <w:pPr>
      <w:spacing w:line="360" w:lineRule="auto"/>
      <w:ind w:left="-1" w:leftChars="-1" w:firstLine="420" w:firstLineChars="200"/>
      <w:jc w:val="both"/>
    </w:pPr>
    <w:rPr>
      <w:szCs w:val="24"/>
    </w:rPr>
  </w:style>
  <w:style w:type="paragraph" w:customStyle="1" w:styleId="59">
    <w:name w:val="_Style 4"/>
    <w:autoRedefine/>
    <w:qFormat/>
    <w:uiPriority w:val="0"/>
    <w:pPr>
      <w:widowControl w:val="0"/>
      <w:jc w:val="both"/>
    </w:pPr>
    <w:rPr>
      <w:rFonts w:ascii="Calibri" w:hAnsi="Calibri" w:eastAsia="仿宋_GB2312" w:cs="Times New Roman"/>
      <w:kern w:val="2"/>
      <w:sz w:val="24"/>
      <w:szCs w:val="22"/>
      <w:lang w:val="en-US" w:eastAsia="zh-CN" w:bidi="ar-SA"/>
    </w:rPr>
  </w:style>
  <w:style w:type="character" w:customStyle="1" w:styleId="60">
    <w:name w:val="正文文本缩进 字符"/>
    <w:link w:val="17"/>
    <w:autoRedefine/>
    <w:qFormat/>
    <w:uiPriority w:val="0"/>
    <w:rPr>
      <w:rFonts w:ascii="Times New Roman" w:hAnsi="Times New Roman" w:eastAsia="宋体"/>
      <w:sz w:val="24"/>
    </w:rPr>
  </w:style>
  <w:style w:type="character" w:customStyle="1" w:styleId="61">
    <w:name w:val="页眉 字符"/>
    <w:link w:val="26"/>
    <w:autoRedefine/>
    <w:qFormat/>
    <w:uiPriority w:val="99"/>
    <w:rPr>
      <w:sz w:val="18"/>
    </w:rPr>
  </w:style>
  <w:style w:type="character" w:customStyle="1" w:styleId="62">
    <w:name w:val="正文首行缩进 2 字符"/>
    <w:link w:val="41"/>
    <w:autoRedefine/>
    <w:qFormat/>
    <w:uiPriority w:val="0"/>
    <w:rPr>
      <w:rFonts w:ascii="Times New Roman" w:hAnsi="Times New Roman" w:eastAsia="宋体"/>
      <w:kern w:val="2"/>
      <w:sz w:val="21"/>
      <w:szCs w:val="24"/>
    </w:rPr>
  </w:style>
  <w:style w:type="character" w:customStyle="1" w:styleId="63">
    <w:name w:val="标题 1 字符"/>
    <w:link w:val="3"/>
    <w:autoRedefine/>
    <w:qFormat/>
    <w:uiPriority w:val="0"/>
    <w:rPr>
      <w:b/>
      <w:bCs/>
      <w:color w:val="000000"/>
      <w:kern w:val="44"/>
      <w:sz w:val="32"/>
      <w:szCs w:val="30"/>
    </w:rPr>
  </w:style>
  <w:style w:type="character" w:customStyle="1" w:styleId="64">
    <w:name w:val="标题 2 字符"/>
    <w:link w:val="4"/>
    <w:autoRedefine/>
    <w:qFormat/>
    <w:uiPriority w:val="0"/>
    <w:rPr>
      <w:b/>
      <w:kern w:val="2"/>
      <w:sz w:val="30"/>
      <w:szCs w:val="24"/>
    </w:rPr>
  </w:style>
  <w:style w:type="character" w:customStyle="1" w:styleId="65">
    <w:name w:val="标题 3 字符"/>
    <w:link w:val="5"/>
    <w:autoRedefine/>
    <w:qFormat/>
    <w:uiPriority w:val="0"/>
    <w:rPr>
      <w:b/>
      <w:bCs/>
      <w:kern w:val="2"/>
      <w:sz w:val="30"/>
      <w:szCs w:val="32"/>
    </w:rPr>
  </w:style>
  <w:style w:type="character" w:customStyle="1" w:styleId="66">
    <w:name w:val="标题 4 字符"/>
    <w:link w:val="7"/>
    <w:autoRedefine/>
    <w:qFormat/>
    <w:uiPriority w:val="0"/>
    <w:rPr>
      <w:kern w:val="2"/>
      <w:sz w:val="28"/>
      <w:szCs w:val="24"/>
    </w:rPr>
  </w:style>
  <w:style w:type="character" w:customStyle="1" w:styleId="67">
    <w:name w:val="标题 5 字符"/>
    <w:link w:val="8"/>
    <w:autoRedefine/>
    <w:qFormat/>
    <w:uiPriority w:val="0"/>
    <w:rPr>
      <w:rFonts w:eastAsia="华文中宋"/>
      <w:bCs/>
      <w:kern w:val="2"/>
      <w:sz w:val="28"/>
      <w:szCs w:val="28"/>
    </w:rPr>
  </w:style>
  <w:style w:type="character" w:customStyle="1" w:styleId="68">
    <w:name w:val="标题 7 字符"/>
    <w:link w:val="9"/>
    <w:autoRedefine/>
    <w:semiHidden/>
    <w:qFormat/>
    <w:uiPriority w:val="0"/>
    <w:rPr>
      <w:color w:val="000000"/>
      <w:kern w:val="2"/>
      <w:sz w:val="28"/>
      <w:szCs w:val="24"/>
    </w:rPr>
  </w:style>
  <w:style w:type="character" w:customStyle="1" w:styleId="69">
    <w:name w:val="正文缩进 字符"/>
    <w:link w:val="10"/>
    <w:autoRedefine/>
    <w:qFormat/>
    <w:uiPriority w:val="0"/>
    <w:rPr>
      <w:sz w:val="28"/>
    </w:rPr>
  </w:style>
  <w:style w:type="character" w:customStyle="1" w:styleId="70">
    <w:name w:val="题注 字符"/>
    <w:link w:val="11"/>
    <w:autoRedefine/>
    <w:qFormat/>
    <w:uiPriority w:val="0"/>
    <w:rPr>
      <w:rFonts w:ascii="Arial" w:hAnsi="Arial" w:eastAsia="黑体" w:cs="Arial"/>
      <w:kern w:val="2"/>
      <w:sz w:val="24"/>
      <w:szCs w:val="22"/>
    </w:rPr>
  </w:style>
  <w:style w:type="character" w:customStyle="1" w:styleId="71">
    <w:name w:val="文档结构图 字符"/>
    <w:link w:val="12"/>
    <w:autoRedefine/>
    <w:qFormat/>
    <w:uiPriority w:val="0"/>
    <w:rPr>
      <w:kern w:val="2"/>
      <w:sz w:val="21"/>
      <w:szCs w:val="24"/>
      <w:shd w:val="clear" w:color="auto" w:fill="000080"/>
    </w:rPr>
  </w:style>
  <w:style w:type="character" w:customStyle="1" w:styleId="72">
    <w:name w:val="批注文字 字符"/>
    <w:link w:val="13"/>
    <w:autoRedefine/>
    <w:qFormat/>
    <w:uiPriority w:val="99"/>
    <w:rPr>
      <w:rFonts w:ascii="Times New Roman" w:hAnsi="Times New Roman" w:eastAsia="宋体"/>
      <w:sz w:val="24"/>
    </w:rPr>
  </w:style>
  <w:style w:type="character" w:customStyle="1" w:styleId="73">
    <w:name w:val="称呼 字符"/>
    <w:link w:val="14"/>
    <w:autoRedefine/>
    <w:qFormat/>
    <w:uiPriority w:val="0"/>
    <w:rPr>
      <w:b/>
      <w:kern w:val="2"/>
      <w:sz w:val="36"/>
      <w:szCs w:val="36"/>
    </w:rPr>
  </w:style>
  <w:style w:type="character" w:customStyle="1" w:styleId="74">
    <w:name w:val="正文文本 3 字符"/>
    <w:link w:val="15"/>
    <w:autoRedefine/>
    <w:qFormat/>
    <w:uiPriority w:val="0"/>
    <w:rPr>
      <w:rFonts w:eastAsia="方正书宋简体"/>
      <w:w w:val="90"/>
      <w:sz w:val="28"/>
    </w:rPr>
  </w:style>
  <w:style w:type="character" w:customStyle="1" w:styleId="75">
    <w:name w:val="正文文本 字符"/>
    <w:link w:val="16"/>
    <w:autoRedefine/>
    <w:qFormat/>
    <w:uiPriority w:val="0"/>
    <w:rPr>
      <w:sz w:val="18"/>
    </w:rPr>
  </w:style>
  <w:style w:type="character" w:customStyle="1" w:styleId="76">
    <w:name w:val="纯文本 字符"/>
    <w:link w:val="20"/>
    <w:autoRedefine/>
    <w:qFormat/>
    <w:uiPriority w:val="0"/>
    <w:rPr>
      <w:rFonts w:ascii="宋体" w:hAnsi="Courier New" w:cs="Courier New"/>
      <w:kern w:val="2"/>
      <w:sz w:val="21"/>
      <w:szCs w:val="21"/>
    </w:rPr>
  </w:style>
  <w:style w:type="character" w:customStyle="1" w:styleId="77">
    <w:name w:val="日期 字符1"/>
    <w:link w:val="22"/>
    <w:autoRedefine/>
    <w:qFormat/>
    <w:uiPriority w:val="0"/>
    <w:rPr>
      <w:rFonts w:ascii="Times New Roman" w:hAnsi="Times New Roman" w:eastAsia="宋体"/>
      <w:sz w:val="24"/>
    </w:rPr>
  </w:style>
  <w:style w:type="character" w:customStyle="1" w:styleId="78">
    <w:name w:val="正文文本缩进 2 字符"/>
    <w:link w:val="23"/>
    <w:autoRedefine/>
    <w:qFormat/>
    <w:uiPriority w:val="0"/>
    <w:rPr>
      <w:kern w:val="2"/>
      <w:sz w:val="21"/>
      <w:szCs w:val="24"/>
    </w:rPr>
  </w:style>
  <w:style w:type="character" w:customStyle="1" w:styleId="79">
    <w:name w:val="批注框文本 字符"/>
    <w:link w:val="24"/>
    <w:autoRedefine/>
    <w:semiHidden/>
    <w:qFormat/>
    <w:uiPriority w:val="0"/>
    <w:rPr>
      <w:rFonts w:ascii="Times New Roman" w:hAnsi="Times New Roman" w:eastAsia="宋体"/>
      <w:sz w:val="18"/>
    </w:rPr>
  </w:style>
  <w:style w:type="character" w:customStyle="1" w:styleId="80">
    <w:name w:val="页脚 字符1"/>
    <w:link w:val="25"/>
    <w:autoRedefine/>
    <w:qFormat/>
    <w:uiPriority w:val="99"/>
    <w:rPr>
      <w:sz w:val="18"/>
    </w:rPr>
  </w:style>
  <w:style w:type="character" w:customStyle="1" w:styleId="81">
    <w:name w:val="正文文本缩进 3 字符"/>
    <w:link w:val="31"/>
    <w:autoRedefine/>
    <w:qFormat/>
    <w:uiPriority w:val="0"/>
    <w:rPr>
      <w:kern w:val="2"/>
      <w:sz w:val="28"/>
      <w:szCs w:val="24"/>
    </w:rPr>
  </w:style>
  <w:style w:type="character" w:customStyle="1" w:styleId="82">
    <w:name w:val="正文文本 2 字符"/>
    <w:link w:val="33"/>
    <w:autoRedefine/>
    <w:qFormat/>
    <w:uiPriority w:val="0"/>
    <w:rPr>
      <w:kern w:val="2"/>
      <w:sz w:val="24"/>
      <w:szCs w:val="24"/>
    </w:rPr>
  </w:style>
  <w:style w:type="character" w:customStyle="1" w:styleId="83">
    <w:name w:val="HTML 预设格式 字符"/>
    <w:link w:val="35"/>
    <w:autoRedefine/>
    <w:qFormat/>
    <w:uiPriority w:val="0"/>
    <w:rPr>
      <w:rFonts w:ascii="宋体" w:hAnsi="宋体" w:cs="宋体"/>
      <w:sz w:val="24"/>
      <w:szCs w:val="24"/>
    </w:rPr>
  </w:style>
  <w:style w:type="character" w:customStyle="1" w:styleId="84">
    <w:name w:val="普通(网站) 字符"/>
    <w:link w:val="36"/>
    <w:autoRedefine/>
    <w:qFormat/>
    <w:uiPriority w:val="0"/>
    <w:rPr>
      <w:rFonts w:ascii="宋体" w:hAnsi="宋体" w:eastAsia="宋体"/>
      <w:sz w:val="24"/>
    </w:rPr>
  </w:style>
  <w:style w:type="character" w:customStyle="1" w:styleId="85">
    <w:name w:val="标题 字符"/>
    <w:link w:val="37"/>
    <w:autoRedefine/>
    <w:qFormat/>
    <w:uiPriority w:val="0"/>
    <w:rPr>
      <w:rFonts w:ascii="等线 Light" w:hAnsi="等线 Light" w:cs="Times New Roman"/>
      <w:b/>
      <w:bCs/>
      <w:kern w:val="2"/>
      <w:sz w:val="32"/>
      <w:szCs w:val="32"/>
    </w:rPr>
  </w:style>
  <w:style w:type="character" w:customStyle="1" w:styleId="86">
    <w:name w:val="批注主题 字符"/>
    <w:link w:val="38"/>
    <w:autoRedefine/>
    <w:semiHidden/>
    <w:qFormat/>
    <w:uiPriority w:val="0"/>
    <w:rPr>
      <w:rFonts w:ascii="Times New Roman" w:hAnsi="Times New Roman" w:eastAsia="宋体"/>
      <w:b/>
      <w:kern w:val="2"/>
      <w:sz w:val="24"/>
    </w:rPr>
  </w:style>
  <w:style w:type="character" w:customStyle="1" w:styleId="87">
    <w:name w:val="正文首行缩进 字符"/>
    <w:link w:val="39"/>
    <w:autoRedefine/>
    <w:qFormat/>
    <w:uiPriority w:val="0"/>
    <w:rPr>
      <w:kern w:val="2"/>
      <w:sz w:val="21"/>
      <w:szCs w:val="24"/>
    </w:rPr>
  </w:style>
  <w:style w:type="character" w:customStyle="1" w:styleId="88">
    <w:name w:val="Default Char Char"/>
    <w:link w:val="54"/>
    <w:autoRedefine/>
    <w:qFormat/>
    <w:uiPriority w:val="0"/>
    <w:rPr>
      <w:rFonts w:ascii="宋体" w:cs="宋体"/>
      <w:color w:val="000000"/>
      <w:sz w:val="24"/>
      <w:szCs w:val="24"/>
    </w:rPr>
  </w:style>
  <w:style w:type="paragraph" w:customStyle="1" w:styleId="89">
    <w:name w:val="报告书正文"/>
    <w:basedOn w:val="1"/>
    <w:link w:val="90"/>
    <w:autoRedefine/>
    <w:qFormat/>
    <w:uiPriority w:val="0"/>
    <w:pPr>
      <w:spacing w:line="360" w:lineRule="auto"/>
      <w:ind w:firstLine="480" w:firstLineChars="200"/>
    </w:pPr>
    <w:rPr>
      <w:sz w:val="24"/>
    </w:rPr>
  </w:style>
  <w:style w:type="character" w:customStyle="1" w:styleId="90">
    <w:name w:val="报告书正文 Char"/>
    <w:link w:val="89"/>
    <w:autoRedefine/>
    <w:qFormat/>
    <w:uiPriority w:val="0"/>
    <w:rPr>
      <w:kern w:val="2"/>
      <w:sz w:val="24"/>
      <w:szCs w:val="24"/>
    </w:rPr>
  </w:style>
  <w:style w:type="character" w:customStyle="1" w:styleId="91">
    <w:name w:val="页脚 字符"/>
    <w:autoRedefine/>
    <w:qFormat/>
    <w:uiPriority w:val="99"/>
  </w:style>
  <w:style w:type="character" w:customStyle="1" w:styleId="92">
    <w:name w:val="正文文本 字符1"/>
    <w:autoRedefine/>
    <w:semiHidden/>
    <w:qFormat/>
    <w:uiPriority w:val="99"/>
    <w:rPr>
      <w:rFonts w:ascii="Times New Roman" w:hAnsi="Times New Roman" w:eastAsia="宋体"/>
      <w:sz w:val="24"/>
    </w:rPr>
  </w:style>
  <w:style w:type="character" w:customStyle="1" w:styleId="93">
    <w:name w:val="表格 Char"/>
    <w:link w:val="94"/>
    <w:autoRedefine/>
    <w:qFormat/>
    <w:uiPriority w:val="0"/>
    <w:rPr>
      <w:rFonts w:ascii="宋体"/>
      <w:sz w:val="21"/>
    </w:rPr>
  </w:style>
  <w:style w:type="paragraph" w:customStyle="1" w:styleId="94">
    <w:name w:val="表格"/>
    <w:basedOn w:val="20"/>
    <w:next w:val="1"/>
    <w:link w:val="93"/>
    <w:autoRedefine/>
    <w:qFormat/>
    <w:uiPriority w:val="0"/>
    <w:pPr>
      <w:adjustRightInd w:val="0"/>
      <w:snapToGrid w:val="0"/>
      <w:spacing w:beforeLines="10" w:afterLines="10" w:line="259" w:lineRule="auto"/>
      <w:jc w:val="center"/>
    </w:pPr>
    <w:rPr>
      <w:rFonts w:ascii="宋体"/>
      <w:kern w:val="0"/>
      <w:szCs w:val="20"/>
    </w:rPr>
  </w:style>
  <w:style w:type="character" w:customStyle="1" w:styleId="95">
    <w:name w:val="日期 字符"/>
    <w:autoRedefine/>
    <w:semiHidden/>
    <w:qFormat/>
    <w:uiPriority w:val="0"/>
    <w:rPr>
      <w:rFonts w:ascii="Times New Roman" w:hAnsi="Times New Roman" w:eastAsia="宋体"/>
      <w:sz w:val="24"/>
    </w:rPr>
  </w:style>
  <w:style w:type="character" w:customStyle="1" w:styleId="96">
    <w:name w:val="批注文字 字符1"/>
    <w:autoRedefine/>
    <w:semiHidden/>
    <w:qFormat/>
    <w:uiPriority w:val="0"/>
    <w:rPr>
      <w:rFonts w:ascii="Times New Roman" w:hAnsi="Times New Roman" w:eastAsia="宋体"/>
      <w:sz w:val="24"/>
    </w:rPr>
  </w:style>
  <w:style w:type="paragraph" w:customStyle="1" w:styleId="97">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8">
    <w:name w:val="普通(网站)2"/>
    <w:basedOn w:val="1"/>
    <w:autoRedefine/>
    <w:qFormat/>
    <w:uiPriority w:val="0"/>
    <w:pPr>
      <w:widowControl/>
      <w:spacing w:before="100" w:beforeAutospacing="1" w:after="100" w:afterAutospacing="1"/>
      <w:jc w:val="left"/>
    </w:pPr>
    <w:rPr>
      <w:rFonts w:ascii="宋体" w:hAnsi="宋体"/>
      <w:sz w:val="24"/>
      <w:szCs w:val="20"/>
    </w:rPr>
  </w:style>
  <w:style w:type="character" w:customStyle="1" w:styleId="99">
    <w:name w:val="NormalCharacter"/>
    <w:autoRedefine/>
    <w:semiHidden/>
    <w:qFormat/>
    <w:uiPriority w:val="0"/>
  </w:style>
  <w:style w:type="character" w:customStyle="1" w:styleId="100">
    <w:name w:val="表格内容 Char"/>
    <w:link w:val="101"/>
    <w:autoRedefine/>
    <w:qFormat/>
    <w:uiPriority w:val="0"/>
    <w:rPr>
      <w:rFonts w:ascii="Arial" w:hAnsi="Arial"/>
      <w:color w:val="000000"/>
      <w:sz w:val="21"/>
      <w:szCs w:val="24"/>
    </w:rPr>
  </w:style>
  <w:style w:type="paragraph" w:customStyle="1" w:styleId="101">
    <w:name w:val="表格内容"/>
    <w:basedOn w:val="102"/>
    <w:next w:val="1"/>
    <w:link w:val="100"/>
    <w:autoRedefine/>
    <w:qFormat/>
    <w:uiPriority w:val="0"/>
    <w:pPr>
      <w:overflowPunct w:val="0"/>
      <w:adjustRightInd w:val="0"/>
      <w:spacing w:before="40" w:after="60" w:line="200" w:lineRule="atLeast"/>
      <w:jc w:val="center"/>
      <w:textAlignment w:val="baseline"/>
    </w:pPr>
    <w:rPr>
      <w:rFonts w:ascii="Arial" w:hAnsi="Arial"/>
      <w:color w:val="000000"/>
      <w:kern w:val="0"/>
    </w:rPr>
  </w:style>
  <w:style w:type="paragraph" w:customStyle="1" w:styleId="102">
    <w:name w:val="封皮-证书编号"/>
    <w:basedOn w:val="1"/>
    <w:autoRedefine/>
    <w:qFormat/>
    <w:uiPriority w:val="0"/>
    <w:pPr>
      <w:jc w:val="center"/>
    </w:pPr>
    <w:rPr>
      <w:rFonts w:eastAsia="黑体"/>
      <w:sz w:val="28"/>
    </w:rPr>
  </w:style>
  <w:style w:type="character" w:customStyle="1" w:styleId="103">
    <w:name w:val="表格标题 Char"/>
    <w:link w:val="104"/>
    <w:autoRedefine/>
    <w:qFormat/>
    <w:uiPriority w:val="0"/>
    <w:rPr>
      <w:b/>
      <w:sz w:val="21"/>
    </w:rPr>
  </w:style>
  <w:style w:type="paragraph" w:customStyle="1" w:styleId="104">
    <w:name w:val="表格标题"/>
    <w:basedOn w:val="1"/>
    <w:next w:val="1"/>
    <w:link w:val="103"/>
    <w:autoRedefine/>
    <w:qFormat/>
    <w:uiPriority w:val="0"/>
    <w:pPr>
      <w:keepNext/>
      <w:tabs>
        <w:tab w:val="left" w:pos="0"/>
        <w:tab w:val="left" w:pos="360"/>
      </w:tabs>
      <w:jc w:val="center"/>
    </w:pPr>
    <w:rPr>
      <w:b/>
      <w:kern w:val="0"/>
      <w:szCs w:val="20"/>
    </w:rPr>
  </w:style>
  <w:style w:type="paragraph" w:customStyle="1" w:styleId="105">
    <w:name w:val="报告表正文"/>
    <w:basedOn w:val="106"/>
    <w:link w:val="107"/>
    <w:autoRedefine/>
    <w:qFormat/>
    <w:uiPriority w:val="0"/>
  </w:style>
  <w:style w:type="paragraph" w:customStyle="1" w:styleId="106">
    <w:name w:val="CM4"/>
    <w:basedOn w:val="1"/>
    <w:next w:val="1"/>
    <w:autoRedefine/>
    <w:qFormat/>
    <w:uiPriority w:val="0"/>
    <w:pPr>
      <w:keepNext/>
      <w:spacing w:line="520" w:lineRule="exact"/>
      <w:jc w:val="center"/>
    </w:pPr>
    <w:rPr>
      <w:b/>
      <w:kern w:val="0"/>
      <w:szCs w:val="21"/>
    </w:rPr>
  </w:style>
  <w:style w:type="character" w:customStyle="1" w:styleId="107">
    <w:name w:val="表中字 Char"/>
    <w:link w:val="105"/>
    <w:autoRedefine/>
    <w:qFormat/>
    <w:uiPriority w:val="0"/>
    <w:rPr>
      <w:b/>
      <w:sz w:val="21"/>
      <w:szCs w:val="21"/>
    </w:rPr>
  </w:style>
  <w:style w:type="character" w:customStyle="1" w:styleId="108">
    <w:name w:val="正文格式 字符"/>
    <w:link w:val="109"/>
    <w:autoRedefine/>
    <w:qFormat/>
    <w:uiPriority w:val="0"/>
    <w:rPr>
      <w:sz w:val="21"/>
      <w:szCs w:val="21"/>
    </w:rPr>
  </w:style>
  <w:style w:type="paragraph" w:customStyle="1" w:styleId="109">
    <w:name w:val="正文格式"/>
    <w:basedOn w:val="1"/>
    <w:next w:val="1"/>
    <w:link w:val="108"/>
    <w:autoRedefine/>
    <w:qFormat/>
    <w:uiPriority w:val="0"/>
    <w:pPr>
      <w:spacing w:line="360" w:lineRule="auto"/>
      <w:ind w:firstLine="420" w:firstLineChars="200"/>
    </w:pPr>
    <w:rPr>
      <w:kern w:val="0"/>
      <w:szCs w:val="21"/>
    </w:rPr>
  </w:style>
  <w:style w:type="paragraph" w:customStyle="1" w:styleId="110">
    <w:name w:val="正文缩进2"/>
    <w:basedOn w:val="1"/>
    <w:autoRedefine/>
    <w:qFormat/>
    <w:uiPriority w:val="0"/>
    <w:pPr>
      <w:spacing w:line="520" w:lineRule="exact"/>
      <w:ind w:firstLine="624"/>
    </w:pPr>
    <w:rPr>
      <w:sz w:val="28"/>
    </w:rPr>
  </w:style>
  <w:style w:type="character" w:customStyle="1" w:styleId="111">
    <w:name w:val="【表中文字】 Char Char"/>
    <w:link w:val="112"/>
    <w:autoRedefine/>
    <w:qFormat/>
    <w:uiPriority w:val="0"/>
    <w:rPr>
      <w:sz w:val="21"/>
    </w:rPr>
  </w:style>
  <w:style w:type="paragraph" w:customStyle="1" w:styleId="112">
    <w:name w:val="【表中文字】"/>
    <w:basedOn w:val="113"/>
    <w:link w:val="111"/>
    <w:autoRedefine/>
    <w:qFormat/>
    <w:uiPriority w:val="0"/>
    <w:pPr>
      <w:jc w:val="center"/>
    </w:pPr>
    <w:rPr>
      <w:kern w:val="0"/>
      <w:szCs w:val="20"/>
    </w:rPr>
  </w:style>
  <w:style w:type="paragraph" w:customStyle="1" w:styleId="113">
    <w:name w:val=".表1-1-1内容"/>
    <w:basedOn w:val="1"/>
    <w:autoRedefine/>
    <w:qFormat/>
    <w:uiPriority w:val="0"/>
    <w:pPr>
      <w:spacing w:line="300" w:lineRule="exact"/>
      <w:jc w:val="center"/>
    </w:pPr>
    <w:rPr>
      <w:kern w:val="0"/>
      <w:szCs w:val="21"/>
    </w:rPr>
  </w:style>
  <w:style w:type="paragraph" w:customStyle="1" w:styleId="114">
    <w:name w:val="a正文"/>
    <w:basedOn w:val="109"/>
    <w:link w:val="115"/>
    <w:autoRedefine/>
    <w:qFormat/>
    <w:uiPriority w:val="0"/>
    <w:pPr>
      <w:spacing w:line="520" w:lineRule="exact"/>
      <w:ind w:firstLine="200"/>
    </w:pPr>
    <w:rPr>
      <w:sz w:val="24"/>
    </w:rPr>
  </w:style>
  <w:style w:type="character" w:customStyle="1" w:styleId="115">
    <w:name w:val="a正文 Char"/>
    <w:link w:val="114"/>
    <w:autoRedefine/>
    <w:qFormat/>
    <w:uiPriority w:val="0"/>
    <w:rPr>
      <w:sz w:val="24"/>
      <w:szCs w:val="21"/>
    </w:rPr>
  </w:style>
  <w:style w:type="character" w:customStyle="1" w:styleId="116">
    <w:name w:val="样式1 Char Char"/>
    <w:link w:val="117"/>
    <w:autoRedefine/>
    <w:qFormat/>
    <w:uiPriority w:val="0"/>
  </w:style>
  <w:style w:type="paragraph" w:customStyle="1" w:styleId="117">
    <w:name w:val="样式1"/>
    <w:basedOn w:val="1"/>
    <w:link w:val="116"/>
    <w:autoRedefine/>
    <w:qFormat/>
    <w:uiPriority w:val="0"/>
    <w:pPr>
      <w:spacing w:line="360" w:lineRule="auto"/>
      <w:ind w:firstLine="720" w:firstLineChars="200"/>
    </w:pPr>
    <w:rPr>
      <w:kern w:val="0"/>
      <w:sz w:val="20"/>
      <w:szCs w:val="20"/>
    </w:rPr>
  </w:style>
  <w:style w:type="paragraph" w:customStyle="1" w:styleId="118">
    <w:name w:val="表格正文"/>
    <w:link w:val="119"/>
    <w:autoRedefine/>
    <w:qFormat/>
    <w:uiPriority w:val="0"/>
    <w:pPr>
      <w:adjustRightInd w:val="0"/>
      <w:snapToGrid w:val="0"/>
      <w:jc w:val="center"/>
    </w:pPr>
    <w:rPr>
      <w:rFonts w:ascii="Times New Roman" w:hAnsi="Times New Roman" w:eastAsia="宋体" w:cs="Times New Roman"/>
      <w:color w:val="FF0000"/>
      <w:kern w:val="2"/>
      <w:sz w:val="21"/>
      <w:szCs w:val="21"/>
      <w:lang w:val="en-US" w:eastAsia="zh-CN" w:bidi="ar-SA"/>
    </w:rPr>
  </w:style>
  <w:style w:type="character" w:customStyle="1" w:styleId="119">
    <w:name w:val="表格正文 Char"/>
    <w:link w:val="118"/>
    <w:autoRedefine/>
    <w:qFormat/>
    <w:uiPriority w:val="0"/>
    <w:rPr>
      <w:color w:val="FF0000"/>
      <w:kern w:val="2"/>
      <w:sz w:val="21"/>
      <w:szCs w:val="21"/>
    </w:rPr>
  </w:style>
  <w:style w:type="paragraph" w:customStyle="1" w:styleId="120">
    <w:name w:val="表头"/>
    <w:basedOn w:val="29"/>
    <w:next w:val="1"/>
    <w:link w:val="122"/>
    <w:autoRedefine/>
    <w:qFormat/>
    <w:uiPriority w:val="0"/>
    <w:pPr>
      <w:jc w:val="center"/>
    </w:pPr>
    <w:rPr>
      <w:rFonts w:ascii="Times New Roman" w:hAnsi="Times New Roman" w:eastAsia="宋体" w:cs="Times New Roman"/>
      <w:b/>
      <w:sz w:val="21"/>
      <w:szCs w:val="24"/>
      <w:lang w:val="en-US" w:eastAsia="zh-CN" w:bidi="ar-SA"/>
    </w:rPr>
  </w:style>
  <w:style w:type="paragraph" w:customStyle="1" w:styleId="121">
    <w:name w:val="样式4"/>
    <w:basedOn w:val="1"/>
    <w:autoRedefine/>
    <w:qFormat/>
    <w:uiPriority w:val="0"/>
    <w:pPr>
      <w:adjustRightInd w:val="0"/>
      <w:snapToGrid w:val="0"/>
      <w:jc w:val="center"/>
    </w:pPr>
    <w:rPr>
      <w:sz w:val="24"/>
    </w:rPr>
  </w:style>
  <w:style w:type="character" w:customStyle="1" w:styleId="122">
    <w:name w:val="表头 Char1"/>
    <w:link w:val="120"/>
    <w:autoRedefine/>
    <w:qFormat/>
    <w:uiPriority w:val="0"/>
    <w:rPr>
      <w:b/>
      <w:sz w:val="21"/>
      <w:szCs w:val="24"/>
    </w:rPr>
  </w:style>
  <w:style w:type="character" w:customStyle="1" w:styleId="123">
    <w:name w:val="【正文】 Char"/>
    <w:link w:val="124"/>
    <w:autoRedefine/>
    <w:qFormat/>
    <w:uiPriority w:val="0"/>
  </w:style>
  <w:style w:type="paragraph" w:customStyle="1" w:styleId="124">
    <w:name w:val="【正文】"/>
    <w:basedOn w:val="1"/>
    <w:link w:val="123"/>
    <w:autoRedefine/>
    <w:qFormat/>
    <w:uiPriority w:val="0"/>
    <w:pPr>
      <w:widowControl/>
      <w:spacing w:line="520" w:lineRule="exact"/>
      <w:ind w:firstLine="480" w:firstLineChars="200"/>
    </w:pPr>
    <w:rPr>
      <w:kern w:val="0"/>
      <w:sz w:val="20"/>
      <w:szCs w:val="20"/>
    </w:rPr>
  </w:style>
  <w:style w:type="character" w:customStyle="1" w:styleId="125">
    <w:name w:val="【表头】 Char"/>
    <w:link w:val="126"/>
    <w:autoRedefine/>
    <w:qFormat/>
    <w:uiPriority w:val="0"/>
    <w:rPr>
      <w:b/>
      <w:sz w:val="21"/>
    </w:rPr>
  </w:style>
  <w:style w:type="paragraph" w:customStyle="1" w:styleId="126">
    <w:name w:val="【表头】"/>
    <w:basedOn w:val="127"/>
    <w:link w:val="125"/>
    <w:autoRedefine/>
    <w:qFormat/>
    <w:uiPriority w:val="0"/>
    <w:pPr>
      <w:keepNext/>
      <w:adjustRightInd w:val="0"/>
      <w:snapToGrid w:val="0"/>
      <w:spacing w:line="500" w:lineRule="exact"/>
      <w:jc w:val="center"/>
    </w:pPr>
    <w:rPr>
      <w:b/>
      <w:kern w:val="0"/>
      <w:szCs w:val="20"/>
    </w:rPr>
  </w:style>
  <w:style w:type="paragraph" w:customStyle="1" w:styleId="127">
    <w:name w:val="0"/>
    <w:basedOn w:val="1"/>
    <w:autoRedefine/>
    <w:qFormat/>
    <w:uiPriority w:val="99"/>
    <w:pPr>
      <w:widowControl/>
      <w:snapToGrid w:val="0"/>
      <w:jc w:val="left"/>
    </w:pPr>
    <w:rPr>
      <w:rFonts w:ascii="宋体"/>
      <w:kern w:val="0"/>
      <w:sz w:val="20"/>
      <w:szCs w:val="20"/>
    </w:rPr>
  </w:style>
  <w:style w:type="paragraph" w:customStyle="1" w:styleId="128">
    <w:name w:val="正文2"/>
    <w:autoRedefine/>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129">
    <w:name w:val="表中的文字"/>
    <w:basedOn w:val="37"/>
    <w:link w:val="130"/>
    <w:autoRedefine/>
    <w:qFormat/>
    <w:uiPriority w:val="0"/>
    <w:pPr>
      <w:spacing w:before="0" w:after="0"/>
      <w:outlineLvl w:val="9"/>
    </w:pPr>
    <w:rPr>
      <w:rFonts w:ascii="Times New Roman" w:hAnsi="Times New Roman" w:cs="Times New Roman"/>
      <w:b w:val="0"/>
      <w:sz w:val="21"/>
      <w:szCs w:val="21"/>
    </w:rPr>
  </w:style>
  <w:style w:type="character" w:customStyle="1" w:styleId="130">
    <w:name w:val="表中的文字 Char"/>
    <w:link w:val="129"/>
    <w:autoRedefine/>
    <w:qFormat/>
    <w:uiPriority w:val="0"/>
    <w:rPr>
      <w:bCs/>
      <w:kern w:val="2"/>
      <w:sz w:val="21"/>
      <w:szCs w:val="21"/>
    </w:rPr>
  </w:style>
  <w:style w:type="paragraph" w:customStyle="1" w:styleId="131">
    <w:name w:val="环评表中文字"/>
    <w:basedOn w:val="1"/>
    <w:autoRedefine/>
    <w:qFormat/>
    <w:uiPriority w:val="0"/>
    <w:pPr>
      <w:jc w:val="center"/>
    </w:pPr>
    <w:rPr>
      <w:szCs w:val="22"/>
    </w:rPr>
  </w:style>
  <w:style w:type="character" w:customStyle="1" w:styleId="132">
    <w:name w:val="【表中文字】- 字符"/>
    <w:link w:val="133"/>
    <w:autoRedefine/>
    <w:qFormat/>
    <w:uiPriority w:val="0"/>
  </w:style>
  <w:style w:type="paragraph" w:customStyle="1" w:styleId="133">
    <w:name w:val="【表中文字】-"/>
    <w:basedOn w:val="1"/>
    <w:link w:val="132"/>
    <w:autoRedefine/>
    <w:qFormat/>
    <w:uiPriority w:val="0"/>
    <w:pPr>
      <w:jc w:val="center"/>
    </w:pPr>
    <w:rPr>
      <w:kern w:val="0"/>
      <w:sz w:val="20"/>
      <w:szCs w:val="20"/>
    </w:rPr>
  </w:style>
  <w:style w:type="character" w:customStyle="1" w:styleId="134">
    <w:name w:val="正文00 Char"/>
    <w:link w:val="135"/>
    <w:autoRedefine/>
    <w:qFormat/>
    <w:uiPriority w:val="0"/>
    <w:rPr>
      <w:rFonts w:cs="宋体"/>
      <w:kern w:val="2"/>
      <w:sz w:val="24"/>
      <w:szCs w:val="24"/>
    </w:rPr>
  </w:style>
  <w:style w:type="paragraph" w:customStyle="1" w:styleId="135">
    <w:name w:val="正文00"/>
    <w:basedOn w:val="1"/>
    <w:link w:val="134"/>
    <w:autoRedefine/>
    <w:qFormat/>
    <w:uiPriority w:val="0"/>
    <w:pPr>
      <w:spacing w:line="360" w:lineRule="auto"/>
      <w:ind w:firstLine="480" w:firstLineChars="200"/>
    </w:pPr>
    <w:rPr>
      <w:rFonts w:cs="宋体"/>
      <w:sz w:val="24"/>
    </w:rPr>
  </w:style>
  <w:style w:type="paragraph" w:customStyle="1" w:styleId="136">
    <w:name w:val="表文"/>
    <w:basedOn w:val="1"/>
    <w:link w:val="137"/>
    <w:autoRedefine/>
    <w:qFormat/>
    <w:uiPriority w:val="0"/>
    <w:pPr>
      <w:jc w:val="center"/>
    </w:pPr>
    <w:rPr>
      <w:sz w:val="24"/>
      <w:szCs w:val="20"/>
    </w:rPr>
  </w:style>
  <w:style w:type="character" w:customStyle="1" w:styleId="137">
    <w:name w:val="表文 Char"/>
    <w:link w:val="136"/>
    <w:autoRedefine/>
    <w:qFormat/>
    <w:uiPriority w:val="0"/>
    <w:rPr>
      <w:kern w:val="2"/>
      <w:sz w:val="24"/>
    </w:rPr>
  </w:style>
  <w:style w:type="paragraph" w:customStyle="1" w:styleId="138">
    <w:name w:val="万瑞正文"/>
    <w:basedOn w:val="1"/>
    <w:autoRedefine/>
    <w:qFormat/>
    <w:uiPriority w:val="0"/>
    <w:pPr>
      <w:adjustRightInd w:val="0"/>
      <w:snapToGrid w:val="0"/>
      <w:spacing w:line="360" w:lineRule="auto"/>
      <w:ind w:left="-4" w:leftChars="-2" w:firstLine="200" w:firstLineChars="200"/>
      <w:jc w:val="left"/>
    </w:pPr>
    <w:rPr>
      <w:sz w:val="24"/>
    </w:rPr>
  </w:style>
  <w:style w:type="character" w:customStyle="1" w:styleId="139">
    <w:name w:val="标题 字符1"/>
    <w:autoRedefine/>
    <w:qFormat/>
    <w:uiPriority w:val="10"/>
    <w:rPr>
      <w:rFonts w:ascii="Arial" w:hAnsi="Arial" w:eastAsia="黑体"/>
      <w:b/>
      <w:bCs/>
      <w:sz w:val="44"/>
      <w:szCs w:val="44"/>
    </w:rPr>
  </w:style>
  <w:style w:type="paragraph" w:customStyle="1" w:styleId="140">
    <w:name w:val="表格填充1"/>
    <w:basedOn w:val="20"/>
    <w:autoRedefine/>
    <w:qFormat/>
    <w:uiPriority w:val="0"/>
    <w:pPr>
      <w:snapToGrid w:val="0"/>
    </w:pPr>
    <w:rPr>
      <w:rFonts w:ascii="Times New Roman" w:hAnsi="Times New Roman" w:eastAsia="仿宋_GB2312"/>
      <w:sz w:val="28"/>
      <w:szCs w:val="20"/>
    </w:rPr>
  </w:style>
  <w:style w:type="character" w:customStyle="1" w:styleId="141">
    <w:name w:val="【表中文字】 Char"/>
    <w:autoRedefine/>
    <w:qFormat/>
    <w:uiPriority w:val="0"/>
    <w:rPr>
      <w:rFonts w:hint="default" w:ascii="Times New Roman" w:hAnsi="Times New Roman" w:cs="Times New Roman"/>
      <w:kern w:val="2"/>
      <w:sz w:val="21"/>
    </w:rPr>
  </w:style>
  <w:style w:type="paragraph" w:customStyle="1" w:styleId="142">
    <w:name w:val="Table Paragraph"/>
    <w:basedOn w:val="1"/>
    <w:autoRedefine/>
    <w:qFormat/>
    <w:uiPriority w:val="0"/>
    <w:pPr>
      <w:widowControl/>
      <w:jc w:val="left"/>
    </w:pPr>
    <w:rPr>
      <w:rFonts w:ascii="Calibri" w:hAnsi="Calibri" w:cs="宋体"/>
      <w:kern w:val="0"/>
      <w:sz w:val="22"/>
      <w:szCs w:val="22"/>
    </w:rPr>
  </w:style>
  <w:style w:type="character" w:customStyle="1" w:styleId="143">
    <w:name w:val="【华瑞正文】 字符"/>
    <w:link w:val="144"/>
    <w:autoRedefine/>
    <w:qFormat/>
    <w:uiPriority w:val="0"/>
    <w:rPr>
      <w:rFonts w:ascii="宋体" w:hAnsi="宋体" w:cs="宋体"/>
      <w:kern w:val="2"/>
      <w:sz w:val="24"/>
    </w:rPr>
  </w:style>
  <w:style w:type="paragraph" w:customStyle="1" w:styleId="144">
    <w:name w:val="【华瑞正文】"/>
    <w:basedOn w:val="1"/>
    <w:link w:val="143"/>
    <w:autoRedefine/>
    <w:qFormat/>
    <w:uiPriority w:val="0"/>
    <w:pPr>
      <w:spacing w:line="520" w:lineRule="exact"/>
      <w:ind w:firstLine="200" w:firstLineChars="200"/>
    </w:pPr>
    <w:rPr>
      <w:rFonts w:ascii="宋体" w:hAnsi="宋体" w:cs="宋体"/>
      <w:sz w:val="24"/>
      <w:szCs w:val="20"/>
    </w:rPr>
  </w:style>
  <w:style w:type="paragraph" w:customStyle="1" w:styleId="145">
    <w:name w:val="样式 Times New Roman 五号 居中1"/>
    <w:basedOn w:val="1"/>
    <w:autoRedefine/>
    <w:qFormat/>
    <w:uiPriority w:val="0"/>
    <w:pPr>
      <w:jc w:val="center"/>
    </w:pPr>
    <w:rPr>
      <w:rFonts w:ascii="Calibri" w:hAnsi="Calibri" w:cs="宋体"/>
      <w:szCs w:val="20"/>
    </w:rPr>
  </w:style>
  <w:style w:type="character" w:customStyle="1" w:styleId="146">
    <w:name w:val="ref"/>
    <w:autoRedefine/>
    <w:qFormat/>
    <w:uiPriority w:val="0"/>
  </w:style>
  <w:style w:type="character" w:customStyle="1" w:styleId="147">
    <w:name w:val="collect-text"/>
    <w:autoRedefine/>
    <w:qFormat/>
    <w:uiPriority w:val="0"/>
  </w:style>
  <w:style w:type="character" w:customStyle="1" w:styleId="148">
    <w:name w:val="vote-count"/>
    <w:autoRedefine/>
    <w:qFormat/>
    <w:uiPriority w:val="0"/>
  </w:style>
  <w:style w:type="character" w:customStyle="1" w:styleId="149">
    <w:name w:val="share-count"/>
    <w:autoRedefine/>
    <w:qFormat/>
    <w:uiPriority w:val="0"/>
  </w:style>
  <w:style w:type="character" w:customStyle="1" w:styleId="150">
    <w:name w:val="lemma-pinyin"/>
    <w:autoRedefine/>
    <w:qFormat/>
    <w:uiPriority w:val="0"/>
  </w:style>
  <w:style w:type="character" w:customStyle="1" w:styleId="151">
    <w:name w:val="text"/>
    <w:autoRedefine/>
    <w:qFormat/>
    <w:uiPriority w:val="0"/>
  </w:style>
  <w:style w:type="character" w:customStyle="1" w:styleId="152">
    <w:name w:val="num"/>
    <w:autoRedefine/>
    <w:qFormat/>
    <w:uiPriority w:val="0"/>
  </w:style>
  <w:style w:type="paragraph" w:customStyle="1" w:styleId="153">
    <w:name w:val="正文段落"/>
    <w:basedOn w:val="1"/>
    <w:autoRedefine/>
    <w:qFormat/>
    <w:uiPriority w:val="0"/>
    <w:pPr>
      <w:spacing w:line="520" w:lineRule="exact"/>
      <w:ind w:firstLine="480" w:firstLineChars="200"/>
    </w:pPr>
    <w:rPr>
      <w:sz w:val="24"/>
    </w:rPr>
  </w:style>
  <w:style w:type="paragraph" w:customStyle="1" w:styleId="154">
    <w:name w:val="msonormal"/>
    <w:basedOn w:val="1"/>
    <w:autoRedefine/>
    <w:qFormat/>
    <w:uiPriority w:val="0"/>
    <w:pPr>
      <w:widowControl/>
      <w:spacing w:before="100" w:beforeAutospacing="1" w:after="100" w:afterAutospacing="1"/>
      <w:jc w:val="left"/>
    </w:pPr>
    <w:rPr>
      <w:rFonts w:ascii="宋体" w:hAnsi="宋体"/>
      <w:kern w:val="0"/>
      <w:sz w:val="24"/>
    </w:rPr>
  </w:style>
  <w:style w:type="paragraph" w:customStyle="1" w:styleId="155">
    <w:name w:val="默认段落"/>
    <w:basedOn w:val="1"/>
    <w:autoRedefine/>
    <w:qFormat/>
    <w:uiPriority w:val="99"/>
  </w:style>
  <w:style w:type="paragraph" w:customStyle="1" w:styleId="156">
    <w:name w:val="样式2"/>
    <w:basedOn w:val="1"/>
    <w:autoRedefine/>
    <w:qFormat/>
    <w:uiPriority w:val="0"/>
    <w:pPr>
      <w:adjustRightInd w:val="0"/>
      <w:snapToGrid w:val="0"/>
      <w:spacing w:line="500" w:lineRule="exact"/>
      <w:jc w:val="center"/>
    </w:pPr>
    <w:rPr>
      <w:rFonts w:ascii="宋体" w:hAnsi="宋体"/>
      <w:b/>
      <w:bCs/>
      <w:sz w:val="24"/>
    </w:rPr>
  </w:style>
  <w:style w:type="paragraph" w:customStyle="1" w:styleId="157">
    <w:name w:val="表格标题新"/>
    <w:basedOn w:val="1"/>
    <w:autoRedefine/>
    <w:qFormat/>
    <w:uiPriority w:val="0"/>
    <w:pPr>
      <w:tabs>
        <w:tab w:val="left" w:pos="0"/>
      </w:tabs>
      <w:adjustRightInd w:val="0"/>
      <w:snapToGrid w:val="0"/>
      <w:spacing w:beforeLines="50"/>
      <w:ind w:firstLine="562"/>
      <w:jc w:val="center"/>
    </w:pPr>
    <w:rPr>
      <w:rFonts w:ascii="仿宋_GB2312" w:eastAsia="黑体"/>
      <w:b/>
      <w:kern w:val="21"/>
      <w:sz w:val="24"/>
    </w:rPr>
  </w:style>
  <w:style w:type="character" w:customStyle="1" w:styleId="158">
    <w:name w:val="表、图名 Char"/>
    <w:link w:val="159"/>
    <w:autoRedefine/>
    <w:semiHidden/>
    <w:qFormat/>
    <w:uiPriority w:val="0"/>
    <w:rPr>
      <w:rFonts w:ascii="宋体" w:hAnsi="宋体"/>
      <w:b/>
      <w:sz w:val="24"/>
      <w:szCs w:val="24"/>
    </w:rPr>
  </w:style>
  <w:style w:type="paragraph" w:customStyle="1" w:styleId="159">
    <w:name w:val="表、图名"/>
    <w:basedOn w:val="1"/>
    <w:link w:val="158"/>
    <w:autoRedefine/>
    <w:semiHidden/>
    <w:qFormat/>
    <w:uiPriority w:val="0"/>
    <w:pPr>
      <w:adjustRightInd w:val="0"/>
      <w:snapToGrid w:val="0"/>
      <w:spacing w:line="360" w:lineRule="auto"/>
      <w:jc w:val="center"/>
    </w:pPr>
    <w:rPr>
      <w:rFonts w:ascii="宋体" w:hAnsi="宋体"/>
      <w:b/>
      <w:kern w:val="0"/>
      <w:sz w:val="24"/>
    </w:rPr>
  </w:style>
  <w:style w:type="paragraph" w:customStyle="1" w:styleId="160">
    <w:name w:val="Char Char Char Char"/>
    <w:basedOn w:val="1"/>
    <w:autoRedefine/>
    <w:qFormat/>
    <w:uiPriority w:val="0"/>
    <w:rPr>
      <w:sz w:val="24"/>
    </w:rPr>
  </w:style>
  <w:style w:type="paragraph" w:customStyle="1" w:styleId="161">
    <w:name w:val="Char"/>
    <w:basedOn w:val="1"/>
    <w:next w:val="16"/>
    <w:autoRedefine/>
    <w:qFormat/>
    <w:uiPriority w:val="0"/>
    <w:rPr>
      <w:sz w:val="24"/>
    </w:rPr>
  </w:style>
  <w:style w:type="paragraph" w:customStyle="1" w:styleId="162">
    <w:name w:val="表格中文字"/>
    <w:basedOn w:val="1"/>
    <w:autoRedefine/>
    <w:qFormat/>
    <w:uiPriority w:val="0"/>
    <w:pPr>
      <w:adjustRightInd w:val="0"/>
      <w:snapToGrid w:val="0"/>
      <w:jc w:val="center"/>
    </w:pPr>
    <w:rPr>
      <w:kern w:val="18"/>
      <w:szCs w:val="21"/>
    </w:rPr>
  </w:style>
  <w:style w:type="paragraph" w:customStyle="1" w:styleId="163">
    <w:name w:val="2"/>
    <w:basedOn w:val="1"/>
    <w:next w:val="20"/>
    <w:autoRedefine/>
    <w:qFormat/>
    <w:uiPriority w:val="0"/>
    <w:rPr>
      <w:rFonts w:ascii="宋体" w:hAnsi="Lucida Console"/>
    </w:rPr>
  </w:style>
  <w:style w:type="paragraph" w:customStyle="1" w:styleId="164">
    <w:name w:val="表内5号居中"/>
    <w:autoRedefine/>
    <w:qFormat/>
    <w:uiPriority w:val="0"/>
    <w:pPr>
      <w:widowControl w:val="0"/>
      <w:adjustRightInd w:val="0"/>
      <w:snapToGrid w:val="0"/>
      <w:spacing w:line="540" w:lineRule="exact"/>
      <w:ind w:firstLine="893" w:firstLineChars="425"/>
      <w:jc w:val="both"/>
    </w:pPr>
    <w:rPr>
      <w:rFonts w:ascii="黑体" w:hAnsi="Times New Roman" w:eastAsia="黑体" w:cs="Times New Roman"/>
      <w:kern w:val="2"/>
      <w:sz w:val="21"/>
      <w:szCs w:val="21"/>
      <w:lang w:val="en-US" w:eastAsia="zh-CN" w:bidi="ar-SA"/>
    </w:rPr>
  </w:style>
  <w:style w:type="paragraph" w:customStyle="1" w:styleId="165">
    <w:name w:val="CM2"/>
    <w:basedOn w:val="1"/>
    <w:next w:val="1"/>
    <w:autoRedefine/>
    <w:qFormat/>
    <w:uiPriority w:val="0"/>
    <w:pPr>
      <w:autoSpaceDE w:val="0"/>
      <w:autoSpaceDN w:val="0"/>
      <w:adjustRightInd w:val="0"/>
      <w:spacing w:line="363" w:lineRule="atLeast"/>
      <w:jc w:val="left"/>
    </w:pPr>
    <w:rPr>
      <w:rFonts w:ascii="宋体" w:cs="宋体"/>
      <w:kern w:val="0"/>
      <w:sz w:val="24"/>
    </w:rPr>
  </w:style>
  <w:style w:type="paragraph" w:customStyle="1" w:styleId="166">
    <w:name w:val="中文报告书样式"/>
    <w:basedOn w:val="1"/>
    <w:autoRedefine/>
    <w:qFormat/>
    <w:uiPriority w:val="0"/>
    <w:pPr>
      <w:adjustRightInd w:val="0"/>
      <w:spacing w:line="480" w:lineRule="atLeast"/>
      <w:ind w:firstLine="482"/>
    </w:pPr>
    <w:rPr>
      <w:kern w:val="24"/>
      <w:sz w:val="24"/>
      <w:szCs w:val="20"/>
    </w:rPr>
  </w:style>
  <w:style w:type="paragraph" w:customStyle="1" w:styleId="167">
    <w:name w:val="样式 方正仿宋_GBK 三号 行距: 固定值 28 磅"/>
    <w:basedOn w:val="1"/>
    <w:autoRedefine/>
    <w:qFormat/>
    <w:uiPriority w:val="0"/>
    <w:pPr>
      <w:spacing w:line="360" w:lineRule="auto"/>
      <w:ind w:firstLine="200" w:firstLineChars="200"/>
      <w:jc w:val="left"/>
    </w:pPr>
    <w:rPr>
      <w:rFonts w:ascii="方正仿宋_GBK" w:hAnsi="方正仿宋_GBK" w:cs="宋体"/>
      <w:sz w:val="28"/>
    </w:rPr>
  </w:style>
  <w:style w:type="paragraph" w:customStyle="1" w:styleId="168">
    <w:name w:val="正文样式"/>
    <w:basedOn w:val="1"/>
    <w:autoRedefine/>
    <w:qFormat/>
    <w:uiPriority w:val="0"/>
    <w:pPr>
      <w:spacing w:line="360" w:lineRule="auto"/>
      <w:ind w:firstLine="480" w:firstLineChars="200"/>
    </w:pPr>
    <w:rPr>
      <w:sz w:val="24"/>
      <w:szCs w:val="20"/>
    </w:rPr>
  </w:style>
  <w:style w:type="character" w:customStyle="1" w:styleId="169">
    <w:name w:val="正文－1.5行距－段后6磅 Char Char"/>
    <w:link w:val="170"/>
    <w:autoRedefine/>
    <w:qFormat/>
    <w:uiPriority w:val="0"/>
    <w:rPr>
      <w:rFonts w:ascii="Calibri" w:hAnsi="Calibri" w:cs="Calibri"/>
      <w:kern w:val="2"/>
      <w:sz w:val="24"/>
    </w:rPr>
  </w:style>
  <w:style w:type="paragraph" w:customStyle="1" w:styleId="170">
    <w:name w:val="正文－1.5行距－段后6磅"/>
    <w:basedOn w:val="1"/>
    <w:link w:val="169"/>
    <w:autoRedefine/>
    <w:qFormat/>
    <w:uiPriority w:val="0"/>
    <w:pPr>
      <w:spacing w:after="120" w:line="360" w:lineRule="auto"/>
      <w:ind w:firstLine="200" w:firstLineChars="200"/>
    </w:pPr>
    <w:rPr>
      <w:rFonts w:ascii="Calibri" w:hAnsi="Calibri" w:cs="Calibri"/>
      <w:sz w:val="24"/>
      <w:szCs w:val="20"/>
    </w:rPr>
  </w:style>
  <w:style w:type="paragraph" w:customStyle="1" w:styleId="171">
    <w:name w:val="1 Char Char Char Char Char Char Char Char Char Char"/>
    <w:basedOn w:val="1"/>
    <w:autoRedefine/>
    <w:qFormat/>
    <w:uiPriority w:val="0"/>
  </w:style>
  <w:style w:type="character" w:customStyle="1" w:styleId="172">
    <w:name w:val="表头1 Char"/>
    <w:link w:val="173"/>
    <w:autoRedefine/>
    <w:qFormat/>
    <w:uiPriority w:val="0"/>
    <w:rPr>
      <w:rFonts w:ascii="黑体" w:hAnsi="黑体" w:eastAsia="黑体"/>
      <w:sz w:val="21"/>
      <w:szCs w:val="28"/>
    </w:rPr>
  </w:style>
  <w:style w:type="paragraph" w:customStyle="1" w:styleId="173">
    <w:name w:val="表头1"/>
    <w:basedOn w:val="1"/>
    <w:next w:val="1"/>
    <w:link w:val="172"/>
    <w:autoRedefine/>
    <w:qFormat/>
    <w:uiPriority w:val="0"/>
    <w:pPr>
      <w:tabs>
        <w:tab w:val="left" w:pos="605"/>
      </w:tabs>
      <w:adjustRightInd w:val="0"/>
      <w:snapToGrid w:val="0"/>
      <w:jc w:val="center"/>
    </w:pPr>
    <w:rPr>
      <w:rFonts w:ascii="黑体" w:hAnsi="黑体" w:eastAsia="黑体"/>
      <w:kern w:val="0"/>
      <w:szCs w:val="28"/>
    </w:rPr>
  </w:style>
  <w:style w:type="paragraph" w:customStyle="1" w:styleId="174">
    <w:name w:val="表格内容自定"/>
    <w:basedOn w:val="1"/>
    <w:autoRedefine/>
    <w:qFormat/>
    <w:uiPriority w:val="0"/>
    <w:pPr>
      <w:spacing w:line="280" w:lineRule="exact"/>
      <w:jc w:val="center"/>
    </w:pPr>
    <w:rPr>
      <w:kern w:val="0"/>
      <w:sz w:val="18"/>
      <w:szCs w:val="21"/>
    </w:rPr>
  </w:style>
  <w:style w:type="paragraph" w:customStyle="1" w:styleId="175">
    <w:name w:val="三级标题"/>
    <w:basedOn w:val="1"/>
    <w:next w:val="41"/>
    <w:autoRedefine/>
    <w:qFormat/>
    <w:uiPriority w:val="0"/>
    <w:pPr>
      <w:spacing w:line="440" w:lineRule="exact"/>
      <w:jc w:val="center"/>
    </w:pPr>
    <w:rPr>
      <w:w w:val="90"/>
      <w:sz w:val="24"/>
    </w:rPr>
  </w:style>
  <w:style w:type="paragraph" w:customStyle="1" w:styleId="176">
    <w:name w:val="hao01-图"/>
    <w:autoRedefine/>
    <w:qFormat/>
    <w:uiPriority w:val="0"/>
    <w:pPr>
      <w:jc w:val="both"/>
    </w:pPr>
    <w:rPr>
      <w:rFonts w:ascii="宋体" w:hAnsi="Times New Roman" w:eastAsia="宋体" w:cs="Times New Roman"/>
      <w:kern w:val="2"/>
      <w:sz w:val="21"/>
      <w:lang w:val="en-US" w:eastAsia="zh-CN" w:bidi="ar-SA"/>
    </w:rPr>
  </w:style>
  <w:style w:type="character" w:customStyle="1" w:styleId="177">
    <w:name w:val="表头 Char"/>
    <w:autoRedefine/>
    <w:qFormat/>
    <w:uiPriority w:val="0"/>
    <w:rPr>
      <w:rFonts w:ascii="宋体" w:hAnsi="宋体"/>
      <w:spacing w:val="6"/>
      <w:kern w:val="2"/>
      <w:position w:val="10"/>
      <w:sz w:val="24"/>
      <w:szCs w:val="24"/>
    </w:rPr>
  </w:style>
  <w:style w:type="character" w:customStyle="1" w:styleId="178">
    <w:name w:val="正文1 Char"/>
    <w:link w:val="179"/>
    <w:autoRedefine/>
    <w:qFormat/>
    <w:uiPriority w:val="0"/>
    <w:rPr>
      <w:kern w:val="2"/>
      <w:sz w:val="24"/>
      <w:szCs w:val="24"/>
    </w:rPr>
  </w:style>
  <w:style w:type="paragraph" w:customStyle="1" w:styleId="179">
    <w:name w:val="正文1"/>
    <w:basedOn w:val="1"/>
    <w:next w:val="1"/>
    <w:link w:val="178"/>
    <w:autoRedefine/>
    <w:qFormat/>
    <w:uiPriority w:val="0"/>
    <w:pPr>
      <w:spacing w:line="560" w:lineRule="exact"/>
      <w:ind w:firstLine="480" w:firstLineChars="200"/>
    </w:pPr>
    <w:rPr>
      <w:sz w:val="24"/>
    </w:rPr>
  </w:style>
  <w:style w:type="paragraph" w:customStyle="1" w:styleId="180">
    <w:name w:val="表"/>
    <w:basedOn w:val="1"/>
    <w:autoRedefine/>
    <w:qFormat/>
    <w:uiPriority w:val="0"/>
    <w:pPr>
      <w:snapToGrid w:val="0"/>
      <w:jc w:val="center"/>
    </w:pPr>
    <w:rPr>
      <w:spacing w:val="2"/>
      <w:szCs w:val="20"/>
    </w:rPr>
  </w:style>
  <w:style w:type="paragraph" w:customStyle="1" w:styleId="181">
    <w:name w:val="报告表格"/>
    <w:basedOn w:val="1"/>
    <w:autoRedefine/>
    <w:qFormat/>
    <w:uiPriority w:val="0"/>
    <w:pPr>
      <w:autoSpaceDE w:val="0"/>
      <w:autoSpaceDN w:val="0"/>
      <w:adjustRightInd w:val="0"/>
      <w:spacing w:before="40" w:after="40"/>
      <w:jc w:val="center"/>
    </w:pPr>
    <w:rPr>
      <w:kern w:val="0"/>
      <w:szCs w:val="20"/>
    </w:rPr>
  </w:style>
  <w:style w:type="paragraph" w:customStyle="1" w:styleId="182">
    <w:name w:val="表格式"/>
    <w:basedOn w:val="29"/>
    <w:autoRedefine/>
    <w:qFormat/>
    <w:uiPriority w:val="0"/>
    <w:pPr>
      <w:spacing w:beforeLines="50" w:afterLines="50" w:line="200" w:lineRule="exact"/>
      <w:ind w:left="0" w:firstLine="0" w:firstLineChars="0"/>
      <w:jc w:val="center"/>
    </w:pPr>
    <w:rPr>
      <w:szCs w:val="20"/>
    </w:rPr>
  </w:style>
  <w:style w:type="paragraph" w:customStyle="1" w:styleId="183">
    <w:name w:val="图文框"/>
    <w:basedOn w:val="1"/>
    <w:autoRedefine/>
    <w:qFormat/>
    <w:uiPriority w:val="0"/>
    <w:pPr>
      <w:widowControl/>
      <w:ind w:left="56" w:leftChars="-45" w:right="-67" w:rightChars="-28" w:hanging="164" w:hangingChars="78"/>
      <w:jc w:val="center"/>
    </w:pPr>
    <w:rPr>
      <w:rFonts w:ascii="宋体" w:hAnsi="宋体"/>
      <w:kern w:val="0"/>
      <w:szCs w:val="20"/>
    </w:rPr>
  </w:style>
  <w:style w:type="paragraph" w:customStyle="1" w:styleId="184">
    <w:name w:val="zxz5"/>
    <w:next w:val="1"/>
    <w:autoRedefine/>
    <w:qFormat/>
    <w:uiPriority w:val="0"/>
    <w:pPr>
      <w:tabs>
        <w:tab w:val="left" w:pos="0"/>
      </w:tabs>
      <w:jc w:val="center"/>
    </w:pPr>
    <w:rPr>
      <w:rFonts w:ascii="Times New Roman" w:hAnsi="Times New Roman" w:eastAsia="宋体" w:cs="Times New Roman"/>
      <w:lang w:val="en-US" w:eastAsia="zh-CN" w:bidi="ar-SA"/>
    </w:rPr>
  </w:style>
  <w:style w:type="paragraph" w:customStyle="1" w:styleId="185">
    <w:name w:val="D正文"/>
    <w:basedOn w:val="1"/>
    <w:autoRedefine/>
    <w:qFormat/>
    <w:uiPriority w:val="0"/>
    <w:pPr>
      <w:spacing w:line="324" w:lineRule="auto"/>
      <w:ind w:firstLine="200" w:firstLineChars="200"/>
    </w:pPr>
    <w:rPr>
      <w:rFonts w:ascii="Calibri" w:hAnsi="Calibri"/>
      <w:sz w:val="24"/>
      <w:szCs w:val="22"/>
    </w:rPr>
  </w:style>
  <w:style w:type="paragraph" w:customStyle="1" w:styleId="186">
    <w:name w:val="表的标题"/>
    <w:basedOn w:val="1"/>
    <w:next w:val="1"/>
    <w:autoRedefine/>
    <w:qFormat/>
    <w:uiPriority w:val="0"/>
    <w:pPr>
      <w:adjustRightInd w:val="0"/>
      <w:snapToGrid w:val="0"/>
      <w:spacing w:beforeLines="50"/>
      <w:jc w:val="center"/>
    </w:pPr>
    <w:rPr>
      <w:rFonts w:eastAsia="黑体"/>
      <w:sz w:val="24"/>
    </w:rPr>
  </w:style>
  <w:style w:type="paragraph" w:customStyle="1" w:styleId="187">
    <w:name w:val="默认段落字体 Para Char Char Char Char Char Char Char Char Char Char"/>
    <w:basedOn w:val="5"/>
    <w:autoRedefine/>
    <w:qFormat/>
    <w:uiPriority w:val="0"/>
    <w:pPr>
      <w:tabs>
        <w:tab w:val="left" w:pos="360"/>
        <w:tab w:val="left" w:pos="900"/>
      </w:tabs>
      <w:snapToGrid w:val="0"/>
      <w:spacing w:before="120" w:after="120" w:line="360" w:lineRule="auto"/>
      <w:ind w:left="542" w:leftChars="-12" w:firstLine="200" w:firstLineChars="200"/>
      <w:jc w:val="left"/>
    </w:pPr>
    <w:rPr>
      <w:rFonts w:eastAsia="黑体"/>
      <w:b w:val="0"/>
      <w:bCs w:val="0"/>
      <w:sz w:val="24"/>
      <w:szCs w:val="24"/>
    </w:rPr>
  </w:style>
  <w:style w:type="paragraph" w:customStyle="1" w:styleId="188">
    <w:name w:val="Char Char Char Char Char Char1 Char"/>
    <w:basedOn w:val="1"/>
    <w:autoRedefine/>
    <w:qFormat/>
    <w:uiPriority w:val="0"/>
    <w:pPr>
      <w:spacing w:line="360" w:lineRule="auto"/>
    </w:pPr>
    <w:rPr>
      <w:sz w:val="24"/>
    </w:rPr>
  </w:style>
  <w:style w:type="paragraph" w:customStyle="1" w:styleId="189">
    <w:name w:val="Default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0">
    <w:name w:val="默认段落字体 Para Char Char Char Char"/>
    <w:basedOn w:val="1"/>
    <w:autoRedefine/>
    <w:qFormat/>
    <w:uiPriority w:val="0"/>
    <w:rPr>
      <w:sz w:val="24"/>
    </w:rPr>
  </w:style>
  <w:style w:type="paragraph" w:customStyle="1" w:styleId="191">
    <w:name w:val="Char Char Char Char Char Char Char"/>
    <w:basedOn w:val="1"/>
    <w:autoRedefine/>
    <w:qFormat/>
    <w:uiPriority w:val="0"/>
    <w:pPr>
      <w:adjustRightInd w:val="0"/>
      <w:spacing w:line="360" w:lineRule="auto"/>
    </w:pPr>
    <w:rPr>
      <w:kern w:val="0"/>
      <w:sz w:val="24"/>
      <w:szCs w:val="20"/>
    </w:rPr>
  </w:style>
  <w:style w:type="paragraph" w:customStyle="1" w:styleId="192">
    <w:name w:val="样式35"/>
    <w:basedOn w:val="1"/>
    <w:autoRedefine/>
    <w:qFormat/>
    <w:uiPriority w:val="0"/>
    <w:pPr>
      <w:adjustRightInd w:val="0"/>
      <w:spacing w:line="312" w:lineRule="auto"/>
      <w:ind w:firstLine="567"/>
    </w:pPr>
    <w:rPr>
      <w:rFonts w:ascii="宋体"/>
      <w:kern w:val="0"/>
      <w:sz w:val="28"/>
      <w:szCs w:val="20"/>
    </w:rPr>
  </w:style>
  <w:style w:type="character" w:customStyle="1" w:styleId="193">
    <w:name w:val="文本 Char"/>
    <w:link w:val="194"/>
    <w:autoRedefine/>
    <w:qFormat/>
    <w:uiPriority w:val="0"/>
    <w:rPr>
      <w:kern w:val="2"/>
      <w:sz w:val="24"/>
      <w:szCs w:val="24"/>
    </w:rPr>
  </w:style>
  <w:style w:type="paragraph" w:customStyle="1" w:styleId="194">
    <w:name w:val="文本"/>
    <w:basedOn w:val="1"/>
    <w:link w:val="193"/>
    <w:autoRedefine/>
    <w:qFormat/>
    <w:uiPriority w:val="0"/>
    <w:pPr>
      <w:adjustRightInd w:val="0"/>
      <w:snapToGrid w:val="0"/>
      <w:spacing w:line="360" w:lineRule="auto"/>
      <w:ind w:firstLine="1446" w:firstLineChars="200"/>
    </w:pPr>
    <w:rPr>
      <w:sz w:val="24"/>
    </w:rPr>
  </w:style>
  <w:style w:type="paragraph" w:customStyle="1" w:styleId="195">
    <w:name w:val="T表格"/>
    <w:autoRedefine/>
    <w:qFormat/>
    <w:uiPriority w:val="0"/>
    <w:pPr>
      <w:jc w:val="center"/>
    </w:pPr>
    <w:rPr>
      <w:rFonts w:ascii="Times New Roman" w:hAnsi="Times New Roman" w:eastAsia="宋体" w:cs="Times New Roman"/>
      <w:sz w:val="21"/>
      <w:lang w:val="en-US" w:eastAsia="zh-CN" w:bidi="ar-SA"/>
    </w:rPr>
  </w:style>
  <w:style w:type="paragraph" w:customStyle="1" w:styleId="196">
    <w:name w:val="报告书表格"/>
    <w:basedOn w:val="1"/>
    <w:autoRedefine/>
    <w:qFormat/>
    <w:uiPriority w:val="0"/>
    <w:pPr>
      <w:adjustRightInd w:val="0"/>
      <w:spacing w:line="240" w:lineRule="atLeast"/>
      <w:jc w:val="center"/>
    </w:pPr>
    <w:rPr>
      <w:kern w:val="0"/>
      <w:sz w:val="24"/>
      <w:szCs w:val="20"/>
    </w:rPr>
  </w:style>
  <w:style w:type="paragraph" w:customStyle="1" w:styleId="197">
    <w:name w:val="font5"/>
    <w:basedOn w:val="1"/>
    <w:autoRedefine/>
    <w:qFormat/>
    <w:uiPriority w:val="0"/>
    <w:pPr>
      <w:widowControl/>
      <w:spacing w:before="100" w:beforeAutospacing="1" w:after="100" w:afterAutospacing="1"/>
      <w:jc w:val="left"/>
    </w:pPr>
    <w:rPr>
      <w:rFonts w:ascii="宋体" w:hAnsi="宋体"/>
      <w:kern w:val="0"/>
      <w:sz w:val="18"/>
      <w:szCs w:val="18"/>
    </w:rPr>
  </w:style>
  <w:style w:type="paragraph" w:customStyle="1" w:styleId="198">
    <w:name w:val="xl22"/>
    <w:basedOn w:val="1"/>
    <w:autoRedefine/>
    <w:qFormat/>
    <w:uiPriority w:val="0"/>
    <w:pPr>
      <w:widowControl/>
      <w:spacing w:before="100" w:after="100"/>
      <w:jc w:val="center"/>
    </w:pPr>
    <w:rPr>
      <w:kern w:val="0"/>
      <w:sz w:val="24"/>
    </w:rPr>
  </w:style>
  <w:style w:type="paragraph" w:customStyle="1" w:styleId="199">
    <w:name w:val="样式 正文 首行缩进:  2 字符 + 首行缩进:  2 字符"/>
    <w:basedOn w:val="1"/>
    <w:autoRedefine/>
    <w:qFormat/>
    <w:uiPriority w:val="0"/>
    <w:pPr>
      <w:spacing w:line="520" w:lineRule="exact"/>
      <w:ind w:firstLine="420" w:firstLineChars="150"/>
    </w:pPr>
    <w:rPr>
      <w:rFonts w:ascii="仿宋_GB2312" w:eastAsia="仿宋_GB2312"/>
      <w:bCs/>
      <w:w w:val="80"/>
      <w:sz w:val="28"/>
      <w:szCs w:val="28"/>
    </w:rPr>
  </w:style>
  <w:style w:type="character" w:customStyle="1" w:styleId="200">
    <w:name w:val="正文(首行缩进) Char"/>
    <w:link w:val="201"/>
    <w:autoRedefine/>
    <w:qFormat/>
    <w:uiPriority w:val="0"/>
    <w:rPr>
      <w:sz w:val="24"/>
      <w:szCs w:val="24"/>
    </w:rPr>
  </w:style>
  <w:style w:type="paragraph" w:customStyle="1" w:styleId="201">
    <w:name w:val="正文(首行缩进)"/>
    <w:basedOn w:val="1"/>
    <w:link w:val="200"/>
    <w:autoRedefine/>
    <w:qFormat/>
    <w:uiPriority w:val="0"/>
    <w:pPr>
      <w:adjustRightInd w:val="0"/>
      <w:snapToGrid w:val="0"/>
      <w:spacing w:line="360" w:lineRule="auto"/>
      <w:ind w:firstLine="200" w:firstLineChars="200"/>
    </w:pPr>
    <w:rPr>
      <w:kern w:val="0"/>
      <w:sz w:val="24"/>
    </w:rPr>
  </w:style>
  <w:style w:type="paragraph" w:customStyle="1" w:styleId="202">
    <w:name w:val="xl29"/>
    <w:basedOn w:val="1"/>
    <w:autoRedefine/>
    <w:qFormat/>
    <w:uiPriority w:val="0"/>
    <w:pPr>
      <w:widowControl/>
      <w:pBdr>
        <w:bottom w:val="single" w:color="auto" w:sz="4" w:space="0"/>
        <w:right w:val="single" w:color="auto" w:sz="8" w:space="0"/>
      </w:pBdr>
      <w:spacing w:before="100" w:beforeAutospacing="1" w:after="100" w:afterAutospacing="1"/>
      <w:jc w:val="center"/>
    </w:pPr>
    <w:rPr>
      <w:kern w:val="0"/>
      <w:szCs w:val="21"/>
    </w:rPr>
  </w:style>
  <w:style w:type="paragraph" w:customStyle="1" w:styleId="203">
    <w:name w:val="表格 32"/>
    <w:basedOn w:val="1"/>
    <w:autoRedefine/>
    <w:qFormat/>
    <w:uiPriority w:val="0"/>
    <w:pPr>
      <w:autoSpaceDE w:val="0"/>
      <w:autoSpaceDN w:val="0"/>
      <w:adjustRightInd w:val="0"/>
      <w:spacing w:line="240" w:lineRule="atLeast"/>
      <w:jc w:val="center"/>
    </w:pPr>
    <w:rPr>
      <w:kern w:val="0"/>
      <w:sz w:val="24"/>
    </w:rPr>
  </w:style>
  <w:style w:type="paragraph" w:customStyle="1" w:styleId="204">
    <w:name w:val="样式 标题 3 + 宋体 小四"/>
    <w:basedOn w:val="5"/>
    <w:autoRedefine/>
    <w:qFormat/>
    <w:uiPriority w:val="0"/>
    <w:pPr>
      <w:keepLines w:val="0"/>
      <w:spacing w:before="0" w:after="0" w:line="360" w:lineRule="auto"/>
      <w:ind w:right="-105" w:rightChars="-50" w:firstLine="482" w:firstLineChars="100"/>
      <w:jc w:val="center"/>
      <w:outlineLvl w:val="9"/>
    </w:pPr>
    <w:rPr>
      <w:rFonts w:ascii="Calibri" w:hAnsi="Calibri"/>
      <w:b w:val="0"/>
      <w:w w:val="90"/>
      <w:kern w:val="0"/>
      <w:sz w:val="24"/>
    </w:rPr>
  </w:style>
  <w:style w:type="character" w:customStyle="1" w:styleId="205">
    <w:name w:val="报告 Char"/>
    <w:link w:val="206"/>
    <w:autoRedefine/>
    <w:qFormat/>
    <w:uiPriority w:val="0"/>
    <w:rPr>
      <w:sz w:val="24"/>
    </w:rPr>
  </w:style>
  <w:style w:type="paragraph" w:customStyle="1" w:styleId="206">
    <w:name w:val="报告"/>
    <w:basedOn w:val="1"/>
    <w:link w:val="205"/>
    <w:autoRedefine/>
    <w:qFormat/>
    <w:uiPriority w:val="0"/>
    <w:pPr>
      <w:adjustRightInd w:val="0"/>
      <w:spacing w:line="360" w:lineRule="auto"/>
      <w:ind w:firstLine="505"/>
      <w:jc w:val="left"/>
    </w:pPr>
    <w:rPr>
      <w:kern w:val="0"/>
      <w:sz w:val="24"/>
      <w:szCs w:val="20"/>
    </w:rPr>
  </w:style>
  <w:style w:type="paragraph" w:customStyle="1" w:styleId="207">
    <w:name w:val="样式3"/>
    <w:basedOn w:val="1"/>
    <w:autoRedefine/>
    <w:qFormat/>
    <w:uiPriority w:val="0"/>
    <w:pPr>
      <w:autoSpaceDE w:val="0"/>
      <w:autoSpaceDN w:val="0"/>
      <w:snapToGrid w:val="0"/>
      <w:spacing w:before="120" w:line="460" w:lineRule="atLeast"/>
      <w:jc w:val="center"/>
    </w:pPr>
    <w:rPr>
      <w:rFonts w:eastAsia="黑体"/>
      <w:sz w:val="28"/>
    </w:rPr>
  </w:style>
  <w:style w:type="paragraph" w:customStyle="1" w:styleId="208">
    <w:name w:val="pic-info"/>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09">
    <w:name w:val="图文"/>
    <w:basedOn w:val="1"/>
    <w:autoRedefine/>
    <w:qFormat/>
    <w:uiPriority w:val="0"/>
    <w:pPr>
      <w:jc w:val="center"/>
    </w:pPr>
  </w:style>
  <w:style w:type="paragraph" w:customStyle="1" w:styleId="210">
    <w:name w:val="hao01-0"/>
    <w:autoRedefine/>
    <w:qFormat/>
    <w:uiPriority w:val="0"/>
    <w:pPr>
      <w:ind w:firstLine="200" w:firstLineChars="200"/>
    </w:pPr>
    <w:rPr>
      <w:rFonts w:ascii="Times New Roman" w:hAnsi="Times New Roman" w:eastAsia="宋体" w:cs="Times New Roman"/>
      <w:kern w:val="2"/>
      <w:sz w:val="24"/>
      <w:lang w:val="en-US" w:eastAsia="zh-CN" w:bidi="ar-SA"/>
    </w:rPr>
  </w:style>
  <w:style w:type="paragraph" w:customStyle="1" w:styleId="211">
    <w:name w:val="默认段落字体 Para Char"/>
    <w:basedOn w:val="1"/>
    <w:autoRedefine/>
    <w:qFormat/>
    <w:uiPriority w:val="0"/>
    <w:rPr>
      <w:sz w:val="24"/>
    </w:rPr>
  </w:style>
  <w:style w:type="character" w:customStyle="1" w:styleId="212">
    <w:name w:val="font111"/>
    <w:autoRedefine/>
    <w:qFormat/>
    <w:uiPriority w:val="0"/>
    <w:rPr>
      <w:rFonts w:hint="eastAsia" w:ascii="宋体" w:hAnsi="宋体" w:eastAsia="宋体"/>
      <w:b/>
      <w:bCs/>
      <w:color w:val="426196"/>
      <w:sz w:val="28"/>
      <w:szCs w:val="28"/>
    </w:rPr>
  </w:style>
  <w:style w:type="character" w:customStyle="1" w:styleId="213">
    <w:name w:val="表内文字 Char Char"/>
    <w:autoRedefine/>
    <w:qFormat/>
    <w:uiPriority w:val="0"/>
    <w:rPr>
      <w:rFonts w:hint="eastAsia" w:ascii="宋体" w:hAnsi="Courier New" w:eastAsia="宋体" w:cs="Courier New"/>
      <w:kern w:val="2"/>
      <w:sz w:val="21"/>
      <w:szCs w:val="21"/>
      <w:lang w:val="en-US" w:eastAsia="zh-CN" w:bidi="ar-SA"/>
    </w:rPr>
  </w:style>
  <w:style w:type="character" w:customStyle="1" w:styleId="214">
    <w:name w:val="apple-style-span"/>
    <w:autoRedefine/>
    <w:qFormat/>
    <w:uiPriority w:val="0"/>
  </w:style>
  <w:style w:type="character" w:customStyle="1" w:styleId="215">
    <w:name w:val="t_tag"/>
    <w:autoRedefine/>
    <w:qFormat/>
    <w:uiPriority w:val="0"/>
  </w:style>
  <w:style w:type="character" w:customStyle="1" w:styleId="216">
    <w:name w:val="ddd"/>
    <w:autoRedefine/>
    <w:qFormat/>
    <w:uiPriority w:val="0"/>
  </w:style>
  <w:style w:type="character" w:customStyle="1" w:styleId="217">
    <w:name w:val="正文文本缩进 2 Char"/>
    <w:autoRedefine/>
    <w:qFormat/>
    <w:uiPriority w:val="0"/>
    <w:rPr>
      <w:rFonts w:hint="eastAsia" w:ascii="宋体" w:hAnsi="宋体" w:eastAsia="宋体"/>
      <w:kern w:val="2"/>
      <w:sz w:val="28"/>
      <w:szCs w:val="24"/>
      <w:lang w:val="en-US" w:eastAsia="zh-CN" w:bidi="ar-SA"/>
    </w:rPr>
  </w:style>
  <w:style w:type="character" w:customStyle="1" w:styleId="218">
    <w:name w:val="postbody1"/>
    <w:autoRedefine/>
    <w:qFormat/>
    <w:uiPriority w:val="0"/>
    <w:rPr>
      <w:sz w:val="21"/>
      <w:szCs w:val="21"/>
    </w:rPr>
  </w:style>
  <w:style w:type="character" w:customStyle="1" w:styleId="219">
    <w:name w:val="表格 Char Char"/>
    <w:autoRedefine/>
    <w:qFormat/>
    <w:uiPriority w:val="0"/>
    <w:rPr>
      <w:rFonts w:hint="eastAsia" w:ascii="黑体" w:hAnsi="黑体" w:eastAsia="黑体" w:cs="Times New Roman"/>
      <w:kern w:val="2"/>
      <w:sz w:val="21"/>
      <w:szCs w:val="24"/>
    </w:rPr>
  </w:style>
  <w:style w:type="character" w:customStyle="1" w:styleId="220">
    <w:name w:val="body21"/>
    <w:autoRedefine/>
    <w:qFormat/>
    <w:uiPriority w:val="0"/>
    <w:rPr>
      <w:rFonts w:hint="eastAsia" w:ascii="宋体" w:hAnsi="宋体" w:eastAsia="宋体"/>
      <w:color w:val="006666"/>
      <w:sz w:val="27"/>
      <w:szCs w:val="27"/>
    </w:rPr>
  </w:style>
  <w:style w:type="character" w:customStyle="1" w:styleId="221">
    <w:name w:val="普通文字 Char Char Char Char Char Char1"/>
    <w:autoRedefine/>
    <w:qFormat/>
    <w:uiPriority w:val="0"/>
    <w:rPr>
      <w:rFonts w:hint="eastAsia" w:ascii="宋体" w:hAnsi="Courier New" w:eastAsia="宋体" w:cs="Courier New"/>
      <w:kern w:val="2"/>
      <w:sz w:val="21"/>
      <w:szCs w:val="21"/>
      <w:lang w:val="en-US" w:eastAsia="zh-CN" w:bidi="ar-SA"/>
    </w:rPr>
  </w:style>
  <w:style w:type="character" w:customStyle="1" w:styleId="222">
    <w:name w:val="wz1"/>
    <w:autoRedefine/>
    <w:qFormat/>
    <w:uiPriority w:val="0"/>
  </w:style>
  <w:style w:type="character" w:customStyle="1" w:styleId="223">
    <w:name w:val="style10"/>
    <w:autoRedefine/>
    <w:qFormat/>
    <w:uiPriority w:val="0"/>
  </w:style>
  <w:style w:type="table" w:customStyle="1" w:styleId="224">
    <w:name w:val="左右无边表格"/>
    <w:basedOn w:val="42"/>
    <w:autoRedefine/>
    <w:qFormat/>
    <w:uiPriority w:val="0"/>
    <w:pPr>
      <w:jc w:val="center"/>
    </w:pPr>
    <w:rPr>
      <w:sz w:val="21"/>
    </w:rPr>
    <w:tblPr>
      <w:tblBorders>
        <w:top w:val="single" w:color="auto" w:sz="12" w:space="0"/>
        <w:bottom w:val="single" w:color="auto" w:sz="12" w:space="0"/>
        <w:insideH w:val="single" w:color="auto" w:sz="4" w:space="0"/>
        <w:insideV w:val="single" w:color="auto" w:sz="4" w:space="0"/>
      </w:tblBorders>
      <w:tblCellMar>
        <w:left w:w="0" w:type="dxa"/>
        <w:right w:w="0" w:type="dxa"/>
      </w:tblCellMar>
    </w:tblPr>
    <w:tcPr>
      <w:vAlign w:val="center"/>
    </w:tcPr>
  </w:style>
  <w:style w:type="table" w:customStyle="1" w:styleId="225">
    <w:name w:val="无左右边框型"/>
    <w:basedOn w:val="43"/>
    <w:autoRedefine/>
    <w:qFormat/>
    <w:uiPriority w:val="0"/>
    <w:pPr>
      <w:widowControl w:val="0"/>
      <w:jc w:val="both"/>
    </w:pPr>
    <w:tblPr>
      <w:tblBorders>
        <w:top w:val="single" w:color="auto" w:sz="4" w:space="0"/>
        <w:bottom w:val="single" w:color="auto" w:sz="4" w:space="0"/>
        <w:insideH w:val="single" w:color="auto" w:sz="4" w:space="0"/>
        <w:insideV w:val="single" w:color="auto" w:sz="4" w:space="0"/>
      </w:tblBorders>
    </w:tblPr>
  </w:style>
  <w:style w:type="paragraph" w:customStyle="1" w:styleId="226">
    <w:name w:val="表格名称"/>
    <w:basedOn w:val="94"/>
    <w:autoRedefine/>
    <w:qFormat/>
    <w:uiPriority w:val="0"/>
    <w:pPr>
      <w:spacing w:beforeLines="0" w:afterLines="0" w:line="240" w:lineRule="atLeast"/>
    </w:pPr>
    <w:rPr>
      <w:rFonts w:hint="eastAsia" w:ascii="仿宋_GB2312" w:eastAsia="仿宋_GB2312"/>
      <w:b/>
      <w:kern w:val="2"/>
      <w:sz w:val="24"/>
    </w:rPr>
  </w:style>
  <w:style w:type="character" w:customStyle="1" w:styleId="227">
    <w:name w:val="样式 样式 样式 样式 首行缩进:  1 字符 + 首行缩进:  2 字符2 + 首行缩进:  2 字符 + Char"/>
    <w:autoRedefine/>
    <w:qFormat/>
    <w:uiPriority w:val="99"/>
    <w:rPr>
      <w:rFonts w:eastAsia="Times New Roman"/>
      <w:sz w:val="24"/>
      <w:szCs w:val="24"/>
      <w:lang w:val="en-US" w:eastAsia="zh-CN"/>
    </w:rPr>
  </w:style>
  <w:style w:type="paragraph" w:customStyle="1" w:styleId="228">
    <w:name w:val="样式 样式 样式 首行缩进:  1 字符 + 首行缩进:  2 字符1 + 首行缩进:  2 字符2"/>
    <w:basedOn w:val="1"/>
    <w:autoRedefine/>
    <w:qFormat/>
    <w:uiPriority w:val="0"/>
    <w:pPr>
      <w:spacing w:line="360" w:lineRule="auto"/>
      <w:ind w:firstLine="480" w:firstLineChars="200"/>
    </w:pPr>
    <w:rPr>
      <w:rFonts w:ascii="宋体" w:hAnsi="宋体" w:cs="宋体"/>
      <w:sz w:val="24"/>
    </w:rPr>
  </w:style>
  <w:style w:type="character" w:customStyle="1" w:styleId="229">
    <w:name w:val="样式 样式 样式 首行缩进:  1 字符 + 首行缩进:  2 字符2 + 首行缩进:  2 字符 Char Char"/>
    <w:link w:val="230"/>
    <w:autoRedefine/>
    <w:qFormat/>
    <w:uiPriority w:val="0"/>
    <w:rPr>
      <w:rFonts w:ascii="宋体" w:hAnsi="宋体" w:eastAsia="Times New Roman" w:cs="宋体"/>
      <w:sz w:val="24"/>
      <w:szCs w:val="24"/>
    </w:rPr>
  </w:style>
  <w:style w:type="paragraph" w:customStyle="1" w:styleId="230">
    <w:name w:val="样式 样式 样式 首行缩进:  1 字符 + 首行缩进:  2 字符2 + 首行缩进:  2 字符"/>
    <w:basedOn w:val="1"/>
    <w:link w:val="229"/>
    <w:autoRedefine/>
    <w:qFormat/>
    <w:uiPriority w:val="0"/>
    <w:pPr>
      <w:spacing w:line="360" w:lineRule="auto"/>
      <w:ind w:firstLine="480" w:firstLineChars="200"/>
    </w:pPr>
    <w:rPr>
      <w:rFonts w:ascii="宋体" w:hAnsi="宋体" w:eastAsia="Times New Roman" w:cs="宋体"/>
      <w:kern w:val="0"/>
      <w:sz w:val="24"/>
    </w:rPr>
  </w:style>
  <w:style w:type="character" w:customStyle="1" w:styleId="231">
    <w:name w:val="htd01"/>
    <w:autoRedefine/>
    <w:qFormat/>
    <w:uiPriority w:val="0"/>
  </w:style>
  <w:style w:type="paragraph" w:customStyle="1" w:styleId="232">
    <w:name w:val="样式 表格内文字格式 + 四号 加粗 首行缩进:  2 字符"/>
    <w:basedOn w:val="1"/>
    <w:autoRedefine/>
    <w:qFormat/>
    <w:uiPriority w:val="0"/>
    <w:pPr>
      <w:widowControl/>
      <w:spacing w:line="360" w:lineRule="auto"/>
      <w:ind w:right="-55" w:firstLine="517" w:firstLineChars="158"/>
      <w:jc w:val="left"/>
    </w:pPr>
    <w:rPr>
      <w:rFonts w:ascii="宋体" w:hAnsi="宋体" w:cs="宋体"/>
      <w:b/>
      <w:bCs/>
      <w:spacing w:val="80"/>
      <w:sz w:val="28"/>
      <w:szCs w:val="20"/>
    </w:rPr>
  </w:style>
  <w:style w:type="paragraph" w:customStyle="1" w:styleId="233">
    <w:name w:val="2表中文字"/>
    <w:autoRedefine/>
    <w:qFormat/>
    <w:uiPriority w:val="0"/>
    <w:pPr>
      <w:jc w:val="center"/>
    </w:pPr>
    <w:rPr>
      <w:rFonts w:ascii="Times New Roman" w:hAnsi="Times New Roman" w:eastAsia="宋体" w:cs="Times New Roman"/>
      <w:kern w:val="2"/>
      <w:sz w:val="21"/>
      <w:szCs w:val="21"/>
      <w:lang w:val="en-US" w:eastAsia="zh-CN" w:bidi="ar-SA"/>
    </w:rPr>
  </w:style>
  <w:style w:type="paragraph" w:customStyle="1" w:styleId="234">
    <w:name w:val="正文缩进1"/>
    <w:basedOn w:val="1"/>
    <w:autoRedefine/>
    <w:qFormat/>
    <w:uiPriority w:val="0"/>
    <w:pPr>
      <w:spacing w:line="520" w:lineRule="exact"/>
      <w:ind w:firstLine="624"/>
    </w:pPr>
    <w:rPr>
      <w:sz w:val="28"/>
    </w:rPr>
  </w:style>
  <w:style w:type="paragraph" w:customStyle="1" w:styleId="235">
    <w:name w:val="WW-纯文本"/>
    <w:basedOn w:val="1"/>
    <w:autoRedefine/>
    <w:qFormat/>
    <w:uiPriority w:val="0"/>
    <w:pPr>
      <w:suppressAutoHyphens/>
      <w:spacing w:line="312" w:lineRule="atLeast"/>
      <w:textAlignment w:val="baseline"/>
    </w:pPr>
    <w:rPr>
      <w:rFonts w:ascii="宋体" w:hAnsi="宋体" w:eastAsia="楷体_GB2312" w:cs="Courier New"/>
      <w:szCs w:val="21"/>
    </w:rPr>
  </w:style>
  <w:style w:type="character" w:customStyle="1" w:styleId="236">
    <w:name w:val="font01"/>
    <w:autoRedefine/>
    <w:qFormat/>
    <w:uiPriority w:val="0"/>
    <w:rPr>
      <w:rFonts w:hint="default" w:ascii="Times New Roman" w:hAnsi="Times New Roman" w:cs="Times New Roman"/>
      <w:color w:val="000000"/>
      <w:sz w:val="21"/>
      <w:szCs w:val="21"/>
      <w:u w:val="none"/>
      <w:vertAlign w:val="subscript"/>
    </w:rPr>
  </w:style>
  <w:style w:type="character" w:customStyle="1" w:styleId="237">
    <w:name w:val="apple-converted-space"/>
    <w:autoRedefine/>
    <w:qFormat/>
    <w:uiPriority w:val="0"/>
  </w:style>
  <w:style w:type="character" w:customStyle="1" w:styleId="238">
    <w:name w:val="title"/>
    <w:autoRedefine/>
    <w:qFormat/>
    <w:uiPriority w:val="0"/>
  </w:style>
  <w:style w:type="paragraph" w:customStyle="1" w:styleId="239">
    <w:name w:val="无间隔1"/>
    <w:link w:val="240"/>
    <w:autoRedefine/>
    <w:qFormat/>
    <w:uiPriority w:val="0"/>
    <w:pPr>
      <w:widowControl w:val="0"/>
      <w:spacing w:line="360" w:lineRule="auto"/>
      <w:jc w:val="both"/>
    </w:pPr>
    <w:rPr>
      <w:rFonts w:ascii="Calibri" w:hAnsi="Calibri" w:eastAsia="宋体" w:cs="Times New Roman"/>
      <w:kern w:val="2"/>
      <w:sz w:val="24"/>
      <w:szCs w:val="22"/>
      <w:lang w:val="en-US" w:eastAsia="zh-CN" w:bidi="ar-SA"/>
    </w:rPr>
  </w:style>
  <w:style w:type="character" w:customStyle="1" w:styleId="240">
    <w:name w:val="无间隔 字符"/>
    <w:link w:val="239"/>
    <w:autoRedefine/>
    <w:qFormat/>
    <w:uiPriority w:val="0"/>
    <w:rPr>
      <w:rFonts w:ascii="Calibri" w:hAnsi="Calibri"/>
      <w:kern w:val="2"/>
      <w:sz w:val="24"/>
      <w:szCs w:val="22"/>
    </w:rPr>
  </w:style>
  <w:style w:type="character" w:customStyle="1" w:styleId="241">
    <w:name w:val="【图号】"/>
    <w:autoRedefine/>
    <w:qFormat/>
    <w:uiPriority w:val="0"/>
    <w:rPr>
      <w:b/>
      <w:kern w:val="2"/>
      <w:sz w:val="21"/>
      <w:szCs w:val="24"/>
    </w:rPr>
  </w:style>
  <w:style w:type="character" w:customStyle="1" w:styleId="242">
    <w:name w:val="font21"/>
    <w:basedOn w:val="46"/>
    <w:autoRedefine/>
    <w:qFormat/>
    <w:uiPriority w:val="0"/>
    <w:rPr>
      <w:rFonts w:hint="default" w:ascii="Times New Roman" w:hAnsi="Times New Roman" w:cs="Times New Roman"/>
      <w:color w:val="000000"/>
      <w:sz w:val="21"/>
      <w:szCs w:val="21"/>
      <w:u w:val="none"/>
    </w:rPr>
  </w:style>
  <w:style w:type="character" w:customStyle="1" w:styleId="243">
    <w:name w:val="font31"/>
    <w:autoRedefine/>
    <w:qFormat/>
    <w:uiPriority w:val="0"/>
    <w:rPr>
      <w:rFonts w:hint="default" w:ascii="Times New Roman" w:hAnsi="Times New Roman" w:cs="Times New Roman"/>
      <w:color w:val="000000"/>
      <w:sz w:val="21"/>
      <w:szCs w:val="21"/>
      <w:u w:val="none"/>
      <w:vertAlign w:val="superscript"/>
    </w:rPr>
  </w:style>
  <w:style w:type="paragraph" w:customStyle="1" w:styleId="244">
    <w:name w:val="Normal Indent"/>
    <w:basedOn w:val="1"/>
    <w:autoRedefine/>
    <w:qFormat/>
    <w:uiPriority w:val="0"/>
    <w:pPr>
      <w:spacing w:line="520" w:lineRule="exact"/>
      <w:ind w:firstLine="624"/>
    </w:pPr>
    <w:rPr>
      <w:sz w:val="28"/>
    </w:rPr>
  </w:style>
  <w:style w:type="paragraph" w:customStyle="1" w:styleId="245">
    <w:name w:val="附图标题"/>
    <w:basedOn w:val="1"/>
    <w:autoRedefine/>
    <w:qFormat/>
    <w:uiPriority w:val="0"/>
    <w:pPr>
      <w:jc w:val="center"/>
    </w:pPr>
    <w:rPr>
      <w:b/>
      <w:sz w:val="28"/>
    </w:rPr>
  </w:style>
  <w:style w:type="paragraph" w:customStyle="1" w:styleId="246">
    <w:name w:val="正文----------------"/>
    <w:basedOn w:val="1"/>
    <w:autoRedefine/>
    <w:qFormat/>
    <w:uiPriority w:val="0"/>
    <w:pPr>
      <w:spacing w:line="440" w:lineRule="exact"/>
      <w:ind w:firstLine="544" w:firstLineChars="200"/>
    </w:pPr>
    <w:rPr>
      <w:spacing w:val="16"/>
      <w:sz w:val="24"/>
      <w:szCs w:val="20"/>
    </w:rPr>
  </w:style>
  <w:style w:type="paragraph" w:customStyle="1" w:styleId="247">
    <w:name w:val="内容"/>
    <w:basedOn w:val="1"/>
    <w:link w:val="248"/>
    <w:autoRedefine/>
    <w:qFormat/>
    <w:uiPriority w:val="0"/>
    <w:pPr>
      <w:spacing w:before="156" w:beforeLines="50" w:after="156" w:afterLines="50"/>
      <w:ind w:firstLine="200" w:firstLineChars="200"/>
    </w:pPr>
    <w:rPr>
      <w:color w:val="000000"/>
      <w:sz w:val="24"/>
    </w:rPr>
  </w:style>
  <w:style w:type="character" w:customStyle="1" w:styleId="248">
    <w:name w:val="内容 Char"/>
    <w:link w:val="247"/>
    <w:autoRedefine/>
    <w:qFormat/>
    <w:uiPriority w:val="0"/>
    <w:rPr>
      <w:color w:val="000000"/>
      <w:kern w:val="2"/>
      <w:sz w:val="24"/>
      <w:szCs w:val="24"/>
    </w:rPr>
  </w:style>
  <w:style w:type="paragraph" w:customStyle="1" w:styleId="249">
    <w:name w:val="样式 正文11 + 首行缩进:  2 字符"/>
    <w:basedOn w:val="1"/>
    <w:autoRedefine/>
    <w:qFormat/>
    <w:uiPriority w:val="0"/>
    <w:pPr>
      <w:spacing w:line="500" w:lineRule="exact"/>
      <w:ind w:firstLine="560" w:firstLineChars="200"/>
    </w:pPr>
    <w:rPr>
      <w:rFonts w:ascii="宋体" w:hAnsi="宋体" w:cs="宋体"/>
      <w:color w:val="FF0000"/>
      <w:sz w:val="28"/>
      <w:szCs w:val="20"/>
    </w:rPr>
  </w:style>
  <w:style w:type="paragraph" w:customStyle="1" w:styleId="250">
    <w:name w:val="报告表信息录入大表格格式"/>
    <w:basedOn w:val="1"/>
    <w:next w:val="1"/>
    <w:autoRedefine/>
    <w:qFormat/>
    <w:uiPriority w:val="0"/>
    <w:pPr>
      <w:jc w:val="center"/>
    </w:pPr>
    <w:rPr>
      <w:sz w:val="24"/>
    </w:rPr>
  </w:style>
  <w:style w:type="paragraph" w:customStyle="1" w:styleId="251">
    <w:name w:val="报告表图标题"/>
    <w:basedOn w:val="1"/>
    <w:autoRedefine/>
    <w:qFormat/>
    <w:uiPriority w:val="0"/>
    <w:pPr>
      <w:numPr>
        <w:ilvl w:val="0"/>
        <w:numId w:val="3"/>
      </w:numPr>
      <w:tabs>
        <w:tab w:val="left" w:pos="0"/>
      </w:tabs>
      <w:spacing w:line="360" w:lineRule="auto"/>
      <w:jc w:val="center"/>
    </w:pPr>
    <w:rPr>
      <w:b/>
      <w:kern w:val="0"/>
      <w:sz w:val="24"/>
      <w:szCs w:val="22"/>
    </w:rPr>
  </w:style>
  <w:style w:type="character" w:customStyle="1" w:styleId="252">
    <w:name w:val="C【表中文字】- 字符"/>
    <w:link w:val="253"/>
    <w:autoRedefine/>
    <w:qFormat/>
    <w:uiPriority w:val="0"/>
    <w:rPr>
      <w:kern w:val="2"/>
      <w:sz w:val="21"/>
      <w:szCs w:val="21"/>
    </w:rPr>
  </w:style>
  <w:style w:type="paragraph" w:customStyle="1" w:styleId="253">
    <w:name w:val="C【表中文字】-"/>
    <w:basedOn w:val="112"/>
    <w:next w:val="114"/>
    <w:link w:val="252"/>
    <w:autoRedefine/>
    <w:qFormat/>
    <w:uiPriority w:val="0"/>
    <w:pPr>
      <w:overflowPunct w:val="0"/>
      <w:adjustRightInd w:val="0"/>
      <w:textAlignment w:val="baseline"/>
    </w:pPr>
    <w:rPr>
      <w:kern w:val="2"/>
      <w:szCs w:val="21"/>
    </w:rPr>
  </w:style>
  <w:style w:type="character" w:customStyle="1" w:styleId="254">
    <w:name w:val="表格15 Char"/>
    <w:link w:val="255"/>
    <w:autoRedefine/>
    <w:qFormat/>
    <w:uiPriority w:val="0"/>
    <w:rPr>
      <w:rFonts w:ascii="宋体"/>
      <w:color w:val="000000"/>
      <w:kern w:val="2"/>
      <w:sz w:val="21"/>
      <w:szCs w:val="21"/>
    </w:rPr>
  </w:style>
  <w:style w:type="paragraph" w:customStyle="1" w:styleId="255">
    <w:name w:val="表格15"/>
    <w:basedOn w:val="1"/>
    <w:link w:val="254"/>
    <w:autoRedefine/>
    <w:qFormat/>
    <w:uiPriority w:val="0"/>
    <w:pPr>
      <w:widowControl/>
      <w:spacing w:line="300" w:lineRule="exact"/>
      <w:jc w:val="center"/>
    </w:pPr>
    <w:rPr>
      <w:rFonts w:ascii="宋体"/>
      <w:color w:val="000000"/>
      <w:szCs w:val="21"/>
    </w:rPr>
  </w:style>
  <w:style w:type="paragraph" w:customStyle="1" w:styleId="256">
    <w:name w:val="表格18"/>
    <w:basedOn w:val="1"/>
    <w:autoRedefine/>
    <w:qFormat/>
    <w:uiPriority w:val="0"/>
    <w:pPr>
      <w:widowControl/>
      <w:spacing w:line="360" w:lineRule="exact"/>
      <w:jc w:val="center"/>
    </w:pPr>
    <w:rPr>
      <w:rFonts w:ascii="宋体"/>
      <w:color w:val="000000"/>
      <w:sz w:val="28"/>
      <w:szCs w:val="21"/>
    </w:rPr>
  </w:style>
  <w:style w:type="paragraph" w:customStyle="1" w:styleId="257">
    <w:name w:val="C首行缩进正文"/>
    <w:basedOn w:val="124"/>
    <w:link w:val="258"/>
    <w:autoRedefine/>
    <w:qFormat/>
    <w:uiPriority w:val="0"/>
    <w:pPr>
      <w:widowControl w:val="0"/>
      <w:spacing w:line="360" w:lineRule="auto"/>
      <w:ind w:firstLine="200"/>
    </w:pPr>
    <w:rPr>
      <w:rFonts w:cs="宋体"/>
      <w:color w:val="000000"/>
      <w:sz w:val="21"/>
      <w:szCs w:val="24"/>
    </w:rPr>
  </w:style>
  <w:style w:type="character" w:customStyle="1" w:styleId="258">
    <w:name w:val="C首行缩进正文 字符"/>
    <w:link w:val="257"/>
    <w:autoRedefine/>
    <w:qFormat/>
    <w:uiPriority w:val="0"/>
    <w:rPr>
      <w:rFonts w:cs="宋体"/>
      <w:color w:val="000000"/>
      <w:sz w:val="21"/>
      <w:szCs w:val="24"/>
    </w:rPr>
  </w:style>
  <w:style w:type="paragraph" w:customStyle="1" w:styleId="259">
    <w:name w:val="1黑体头"/>
    <w:basedOn w:val="1"/>
    <w:autoRedefine/>
    <w:qFormat/>
    <w:uiPriority w:val="0"/>
    <w:pPr>
      <w:spacing w:line="360" w:lineRule="auto"/>
      <w:ind w:firstLine="479" w:firstLineChars="199"/>
      <w:jc w:val="left"/>
      <w:textAlignment w:val="center"/>
    </w:pPr>
    <w:rPr>
      <w:b/>
      <w:sz w:val="24"/>
      <w:szCs w:val="21"/>
    </w:rPr>
  </w:style>
  <w:style w:type="paragraph" w:customStyle="1" w:styleId="260">
    <w:name w:val="cucd-0"/>
    <w:autoRedefine/>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261">
    <w:name w:val="纯文本 Char1"/>
    <w:autoRedefine/>
    <w:qFormat/>
    <w:uiPriority w:val="0"/>
    <w:rPr>
      <w:rFonts w:ascii="宋体" w:hAnsi="Courier New" w:cs="Courier New"/>
      <w:kern w:val="2"/>
      <w:sz w:val="21"/>
      <w:szCs w:val="21"/>
    </w:rPr>
  </w:style>
  <w:style w:type="character" w:customStyle="1" w:styleId="262">
    <w:name w:val="表格文字 Char"/>
    <w:autoRedefine/>
    <w:qFormat/>
    <w:uiPriority w:val="0"/>
    <w:rPr>
      <w:rFonts w:ascii="仿宋_GB2312" w:hAnsi="Arial Black" w:eastAsia="仿宋_GB2312"/>
      <w:kern w:val="44"/>
      <w:sz w:val="24"/>
      <w:szCs w:val="24"/>
      <w:lang w:val="en-US" w:eastAsia="zh-CN" w:bidi="ar-SA"/>
    </w:rPr>
  </w:style>
  <w:style w:type="character" w:customStyle="1" w:styleId="263">
    <w:name w:val="正文首行缩进 字符1"/>
    <w:autoRedefine/>
    <w:semiHidden/>
    <w:qFormat/>
    <w:uiPriority w:val="99"/>
  </w:style>
  <w:style w:type="character" w:customStyle="1" w:styleId="264">
    <w:name w:val="纯文本 字符1"/>
    <w:autoRedefine/>
    <w:semiHidden/>
    <w:qFormat/>
    <w:uiPriority w:val="99"/>
    <w:rPr>
      <w:rFonts w:ascii="等线" w:hAnsi="Courier New" w:eastAsia="等线" w:cs="Courier New"/>
    </w:rPr>
  </w:style>
  <w:style w:type="paragraph" w:customStyle="1" w:styleId="265">
    <w:name w:val="表1"/>
    <w:basedOn w:val="1"/>
    <w:next w:val="1"/>
    <w:autoRedefine/>
    <w:qFormat/>
    <w:uiPriority w:val="0"/>
    <w:pPr>
      <w:widowControl/>
      <w:adjustRightInd w:val="0"/>
      <w:snapToGrid w:val="0"/>
      <w:jc w:val="center"/>
    </w:pPr>
    <w:rPr>
      <w:rFonts w:ascii="宋体" w:cs="宋体"/>
      <w:color w:val="000000"/>
      <w:kern w:val="0"/>
      <w:szCs w:val="21"/>
    </w:rPr>
  </w:style>
  <w:style w:type="paragraph" w:customStyle="1" w:styleId="266">
    <w:name w:val="Char Char1 Char Char Char Char"/>
    <w:basedOn w:val="1"/>
    <w:autoRedefine/>
    <w:qFormat/>
    <w:uiPriority w:val="0"/>
  </w:style>
  <w:style w:type="paragraph" w:customStyle="1" w:styleId="267">
    <w:name w:val="表中大字"/>
    <w:basedOn w:val="1"/>
    <w:autoRedefine/>
    <w:qFormat/>
    <w:uiPriority w:val="0"/>
    <w:pPr>
      <w:widowControl/>
      <w:spacing w:line="0" w:lineRule="atLeast"/>
      <w:jc w:val="center"/>
    </w:pPr>
    <w:rPr>
      <w:rFonts w:eastAsia="华文中宋"/>
      <w:kern w:val="0"/>
      <w:sz w:val="28"/>
      <w:szCs w:val="28"/>
    </w:rPr>
  </w:style>
  <w:style w:type="paragraph" w:customStyle="1" w:styleId="268">
    <w:name w:val="图头"/>
    <w:basedOn w:val="1"/>
    <w:autoRedefine/>
    <w:qFormat/>
    <w:uiPriority w:val="0"/>
    <w:pPr>
      <w:spacing w:line="360" w:lineRule="auto"/>
      <w:jc w:val="center"/>
    </w:pPr>
    <w:rPr>
      <w:rFonts w:ascii="黑体" w:eastAsia="黑体"/>
      <w:sz w:val="28"/>
      <w:szCs w:val="28"/>
    </w:rPr>
  </w:style>
  <w:style w:type="paragraph" w:customStyle="1" w:styleId="269">
    <w:name w:val="标题4"/>
    <w:basedOn w:val="1"/>
    <w:autoRedefine/>
    <w:qFormat/>
    <w:uiPriority w:val="0"/>
    <w:pPr>
      <w:spacing w:line="500" w:lineRule="exact"/>
      <w:ind w:firstLine="200" w:firstLineChars="200"/>
    </w:pPr>
    <w:rPr>
      <w:rFonts w:eastAsia="华文中宋"/>
      <w:b/>
      <w:sz w:val="28"/>
      <w:szCs w:val="28"/>
    </w:rPr>
  </w:style>
  <w:style w:type="paragraph" w:customStyle="1" w:styleId="270">
    <w:name w:val="段落"/>
    <w:basedOn w:val="1"/>
    <w:autoRedefine/>
    <w:qFormat/>
    <w:uiPriority w:val="0"/>
    <w:pPr>
      <w:adjustRightInd w:val="0"/>
      <w:spacing w:line="360" w:lineRule="auto"/>
      <w:ind w:firstLine="539"/>
      <w:jc w:val="left"/>
      <w:textAlignment w:val="baseline"/>
    </w:pPr>
    <w:rPr>
      <w:kern w:val="0"/>
      <w:sz w:val="24"/>
      <w:szCs w:val="21"/>
    </w:rPr>
  </w:style>
  <w:style w:type="paragraph" w:customStyle="1" w:styleId="271">
    <w:name w:val="表格文字"/>
    <w:basedOn w:val="120"/>
    <w:autoRedefine/>
    <w:qFormat/>
    <w:uiPriority w:val="0"/>
    <w:pPr>
      <w:jc w:val="center"/>
    </w:pPr>
    <w:rPr>
      <w:rFonts w:ascii="仿宋_GB2312" w:hAnsi="Arial Black" w:eastAsia="仿宋_GB2312"/>
      <w:kern w:val="44"/>
      <w:sz w:val="24"/>
    </w:rPr>
  </w:style>
  <w:style w:type="paragraph" w:customStyle="1" w:styleId="272">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273">
    <w:name w:val="表格填充项"/>
    <w:basedOn w:val="1"/>
    <w:autoRedefine/>
    <w:qFormat/>
    <w:uiPriority w:val="0"/>
    <w:pPr>
      <w:spacing w:line="240" w:lineRule="atLeast"/>
      <w:jc w:val="center"/>
    </w:pPr>
    <w:rPr>
      <w:rFonts w:ascii="宋体" w:hAnsi="宋体"/>
      <w:b/>
    </w:rPr>
  </w:style>
  <w:style w:type="paragraph" w:customStyle="1" w:styleId="274">
    <w:name w:val="表文字居中"/>
    <w:autoRedefine/>
    <w:qFormat/>
    <w:uiPriority w:val="0"/>
    <w:pPr>
      <w:adjustRightInd w:val="0"/>
      <w:spacing w:line="360" w:lineRule="auto"/>
      <w:jc w:val="center"/>
    </w:pPr>
    <w:rPr>
      <w:rFonts w:ascii="Times New Roman" w:hAnsi="Times New Roman" w:eastAsia="宋体" w:cs="Times New Roman"/>
      <w:kern w:val="2"/>
      <w:sz w:val="21"/>
      <w:szCs w:val="24"/>
      <w:lang w:val="en-US" w:eastAsia="zh-CN" w:bidi="ar-SA"/>
    </w:rPr>
  </w:style>
  <w:style w:type="paragraph" w:customStyle="1" w:styleId="275">
    <w:name w:val="样式 标题 4款标题1.1.1.1 南陵标题 4标题 4 CharH4PIM 4h4First Subheadin..."/>
    <w:basedOn w:val="7"/>
    <w:autoRedefine/>
    <w:qFormat/>
    <w:uiPriority w:val="99"/>
    <w:pPr>
      <w:keepNext w:val="0"/>
      <w:spacing w:line="360" w:lineRule="auto"/>
      <w:ind w:left="0" w:right="0" w:firstLine="480"/>
      <w:jc w:val="both"/>
    </w:pPr>
    <w:rPr>
      <w:rFonts w:ascii="黑体" w:hAnsi="黑体" w:eastAsia="黑体" w:cs="黑体"/>
      <w:color w:val="000000"/>
      <w:kern w:val="0"/>
      <w:sz w:val="24"/>
    </w:rPr>
  </w:style>
  <w:style w:type="paragraph" w:customStyle="1" w:styleId="276">
    <w:name w:val="Char Char2 Char Char Char Char Char Char"/>
    <w:basedOn w:val="1"/>
    <w:autoRedefine/>
    <w:qFormat/>
    <w:uiPriority w:val="0"/>
    <w:rPr>
      <w:sz w:val="44"/>
      <w:szCs w:val="20"/>
    </w:rPr>
  </w:style>
  <w:style w:type="paragraph" w:customStyle="1" w:styleId="277">
    <w:name w:val="Char Char Char Char Char Char Char Char Char Char"/>
    <w:basedOn w:val="1"/>
    <w:autoRedefine/>
    <w:qFormat/>
    <w:uiPriority w:val="0"/>
    <w:pPr>
      <w:widowControl/>
      <w:spacing w:after="160" w:line="240" w:lineRule="exact"/>
      <w:jc w:val="left"/>
    </w:pPr>
  </w:style>
  <w:style w:type="paragraph" w:customStyle="1" w:styleId="278">
    <w:name w:val="表格文字2"/>
    <w:basedOn w:val="271"/>
    <w:autoRedefine/>
    <w:qFormat/>
    <w:uiPriority w:val="0"/>
    <w:pPr>
      <w:spacing w:before="60"/>
    </w:pPr>
  </w:style>
  <w:style w:type="paragraph" w:customStyle="1" w:styleId="279">
    <w:name w:val="xl41"/>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Calibri" w:eastAsia="Arial Unicode MS"/>
      <w:kern w:val="0"/>
      <w:sz w:val="24"/>
      <w:szCs w:val="22"/>
    </w:rPr>
  </w:style>
  <w:style w:type="character" w:customStyle="1" w:styleId="280">
    <w:name w:val="正文缩进 Char"/>
    <w:autoRedefine/>
    <w:qFormat/>
    <w:uiPriority w:val="0"/>
    <w:rPr>
      <w:rFonts w:eastAsia="宋体"/>
      <w:kern w:val="2"/>
      <w:sz w:val="24"/>
      <w:lang w:val="en-US" w:eastAsia="zh-CN" w:bidi="ar-SA"/>
    </w:rPr>
  </w:style>
  <w:style w:type="paragraph" w:customStyle="1" w:styleId="281">
    <w:name w:val="新正文"/>
    <w:basedOn w:val="1"/>
    <w:autoRedefine/>
    <w:qFormat/>
    <w:uiPriority w:val="0"/>
    <w:pPr>
      <w:spacing w:line="500" w:lineRule="exact"/>
      <w:ind w:firstLine="200" w:firstLineChars="200"/>
    </w:pPr>
    <w:rPr>
      <w:rFonts w:ascii="宋体"/>
      <w:kern w:val="0"/>
      <w:sz w:val="24"/>
      <w:szCs w:val="22"/>
    </w:rPr>
  </w:style>
  <w:style w:type="paragraph" w:customStyle="1" w:styleId="282">
    <w:name w:val="图表标题"/>
    <w:basedOn w:val="1"/>
    <w:autoRedefine/>
    <w:qFormat/>
    <w:uiPriority w:val="0"/>
    <w:pPr>
      <w:widowControl/>
      <w:spacing w:line="500" w:lineRule="exact"/>
      <w:jc w:val="center"/>
    </w:pPr>
    <w:rPr>
      <w:rFonts w:ascii="黑体" w:hAnsi="黑体" w:eastAsia="黑体"/>
      <w:kern w:val="0"/>
      <w:sz w:val="24"/>
      <w:szCs w:val="22"/>
    </w:rPr>
  </w:style>
  <w:style w:type="paragraph" w:styleId="283">
    <w:name w:val="No Spacing"/>
    <w:autoRedefine/>
    <w:qFormat/>
    <w:uiPriority w:val="1"/>
    <w:pPr>
      <w:widowControl w:val="0"/>
      <w:jc w:val="center"/>
    </w:pPr>
    <w:rPr>
      <w:rFonts w:ascii="Times New Roman" w:hAnsi="Times New Roman" w:eastAsia="宋体" w:cs="Times New Roman"/>
      <w:kern w:val="2"/>
      <w:sz w:val="21"/>
      <w:szCs w:val="22"/>
      <w:lang w:val="en-US" w:eastAsia="zh-CN" w:bidi="ar-SA"/>
    </w:rPr>
  </w:style>
  <w:style w:type="character" w:customStyle="1" w:styleId="284">
    <w:name w:val="文章正文 Char"/>
    <w:link w:val="285"/>
    <w:autoRedefine/>
    <w:qFormat/>
    <w:uiPriority w:val="0"/>
    <w:rPr>
      <w:szCs w:val="24"/>
    </w:rPr>
  </w:style>
  <w:style w:type="paragraph" w:customStyle="1" w:styleId="285">
    <w:name w:val="文章正文"/>
    <w:link w:val="284"/>
    <w:autoRedefine/>
    <w:qFormat/>
    <w:uiPriority w:val="0"/>
    <w:pPr>
      <w:widowControl w:val="0"/>
      <w:spacing w:line="360" w:lineRule="auto"/>
      <w:ind w:firstLine="510"/>
      <w:jc w:val="both"/>
    </w:pPr>
    <w:rPr>
      <w:rFonts w:ascii="Times New Roman" w:hAnsi="Times New Roman" w:eastAsia="宋体" w:cs="Times New Roman"/>
      <w:szCs w:val="24"/>
      <w:lang w:val="en-US" w:eastAsia="zh-CN" w:bidi="ar-SA"/>
    </w:rPr>
  </w:style>
  <w:style w:type="paragraph" w:customStyle="1" w:styleId="286">
    <w:name w:val="表内格式"/>
    <w:basedOn w:val="1"/>
    <w:autoRedefine/>
    <w:qFormat/>
    <w:uiPriority w:val="0"/>
    <w:pPr>
      <w:jc w:val="center"/>
    </w:pPr>
    <w:rPr>
      <w:sz w:val="18"/>
      <w:szCs w:val="20"/>
    </w:rPr>
  </w:style>
  <w:style w:type="paragraph" w:customStyle="1" w:styleId="287">
    <w:name w:val="附录名称"/>
    <w:basedOn w:val="6"/>
    <w:link w:val="288"/>
    <w:autoRedefine/>
    <w:qFormat/>
    <w:uiPriority w:val="0"/>
    <w:pPr>
      <w:ind w:firstLine="0" w:firstLineChars="0"/>
      <w:jc w:val="center"/>
    </w:pPr>
    <w:rPr>
      <w:rFonts w:ascii="黑体" w:hAnsi="黑体" w:eastAsia="黑体"/>
      <w:szCs w:val="22"/>
      <w:lang w:val="zh-CN"/>
    </w:rPr>
  </w:style>
  <w:style w:type="character" w:customStyle="1" w:styleId="288">
    <w:name w:val="附录名称 Char"/>
    <w:link w:val="287"/>
    <w:autoRedefine/>
    <w:qFormat/>
    <w:uiPriority w:val="0"/>
    <w:rPr>
      <w:rFonts w:ascii="黑体" w:hAnsi="黑体" w:eastAsia="黑体"/>
      <w:kern w:val="2"/>
      <w:sz w:val="21"/>
      <w:szCs w:val="22"/>
      <w:lang w:val="zh-CN"/>
    </w:rPr>
  </w:style>
  <w:style w:type="paragraph" w:customStyle="1" w:styleId="289">
    <w:name w:val="TOC 标题1"/>
    <w:basedOn w:val="3"/>
    <w:next w:val="1"/>
    <w:autoRedefine/>
    <w:unhideWhenUsed/>
    <w:qFormat/>
    <w:uiPriority w:val="39"/>
    <w:pPr>
      <w:keepLines/>
      <w:widowControl/>
      <w:overflowPunct/>
      <w:snapToGrid/>
      <w:spacing w:before="240" w:after="0"/>
      <w:ind w:left="0" w:firstLine="0"/>
      <w:jc w:val="left"/>
      <w:outlineLvl w:val="9"/>
    </w:pPr>
    <w:rPr>
      <w:rFonts w:ascii="等线 Light" w:hAnsi="等线 Light" w:eastAsia="等线 Light"/>
      <w:b w:val="0"/>
      <w:bCs w:val="0"/>
      <w:color w:val="2E74B5"/>
      <w:kern w:val="0"/>
      <w:sz w:val="32"/>
      <w:szCs w:val="32"/>
    </w:rPr>
  </w:style>
  <w:style w:type="character" w:customStyle="1" w:styleId="290">
    <w:name w:val="【正文】 Char1"/>
    <w:autoRedefine/>
    <w:qFormat/>
    <w:uiPriority w:val="0"/>
    <w:rPr>
      <w:rFonts w:ascii="Times New Roman" w:hAnsi="Times New Roman" w:eastAsia="宋体"/>
      <w:sz w:val="24"/>
    </w:rPr>
  </w:style>
  <w:style w:type="character" w:customStyle="1" w:styleId="291">
    <w:name w:val="表格标题 Char Char"/>
    <w:autoRedefine/>
    <w:qFormat/>
    <w:uiPriority w:val="0"/>
    <w:rPr>
      <w:kern w:val="2"/>
      <w:sz w:val="21"/>
    </w:rPr>
  </w:style>
  <w:style w:type="paragraph" w:customStyle="1" w:styleId="292">
    <w:name w:val="表中文字"/>
    <w:basedOn w:val="1"/>
    <w:autoRedefine/>
    <w:qFormat/>
    <w:uiPriority w:val="0"/>
    <w:pPr>
      <w:jc w:val="center"/>
    </w:pPr>
    <w:rPr>
      <w:szCs w:val="22"/>
    </w:rPr>
  </w:style>
  <w:style w:type="paragraph" w:customStyle="1" w:styleId="293">
    <w:name w:val="巴彦正文"/>
    <w:basedOn w:val="1"/>
    <w:link w:val="294"/>
    <w:autoRedefine/>
    <w:qFormat/>
    <w:uiPriority w:val="0"/>
    <w:pPr>
      <w:spacing w:line="360" w:lineRule="auto"/>
      <w:ind w:firstLine="200" w:firstLineChars="200"/>
    </w:pPr>
    <w:rPr>
      <w:kern w:val="0"/>
      <w:sz w:val="28"/>
      <w:szCs w:val="20"/>
    </w:rPr>
  </w:style>
  <w:style w:type="character" w:customStyle="1" w:styleId="294">
    <w:name w:val="巴彦正文 Char"/>
    <w:link w:val="293"/>
    <w:autoRedefine/>
    <w:qFormat/>
    <w:uiPriority w:val="0"/>
    <w:rPr>
      <w:sz w:val="28"/>
    </w:rPr>
  </w:style>
  <w:style w:type="character" w:customStyle="1" w:styleId="295">
    <w:name w:val="正文 Char Char"/>
    <w:autoRedefine/>
    <w:qFormat/>
    <w:uiPriority w:val="99"/>
    <w:rPr>
      <w:rFonts w:ascii="宋体" w:hAnsi="宋体" w:eastAsia="宋体"/>
      <w:kern w:val="2"/>
      <w:sz w:val="24"/>
      <w:lang w:val="en-US" w:eastAsia="zh-CN"/>
    </w:rPr>
  </w:style>
  <w:style w:type="paragraph" w:customStyle="1" w:styleId="296">
    <w:name w:val="_Style 287"/>
    <w:basedOn w:val="3"/>
    <w:next w:val="1"/>
    <w:autoRedefine/>
    <w:unhideWhenUsed/>
    <w:qFormat/>
    <w:uiPriority w:val="39"/>
    <w:pPr>
      <w:keepLines/>
      <w:widowControl/>
      <w:overflowPunct/>
      <w:snapToGrid/>
      <w:spacing w:before="240" w:after="0"/>
      <w:ind w:left="0" w:firstLine="0"/>
      <w:jc w:val="left"/>
      <w:outlineLvl w:val="9"/>
    </w:pPr>
    <w:rPr>
      <w:rFonts w:ascii="等线 Light" w:hAnsi="等线 Light" w:eastAsia="等线 Light" w:cs="Times New Roman"/>
      <w:b w:val="0"/>
      <w:bCs w:val="0"/>
      <w:color w:val="2E74B5"/>
      <w:kern w:val="0"/>
      <w:szCs w:val="32"/>
    </w:rPr>
  </w:style>
  <w:style w:type="character" w:customStyle="1" w:styleId="297">
    <w:name w:val="font11"/>
    <w:basedOn w:val="46"/>
    <w:autoRedefine/>
    <w:qFormat/>
    <w:uiPriority w:val="0"/>
    <w:rPr>
      <w:rFonts w:hint="default" w:ascii="Times New Roman" w:hAnsi="Times New Roman" w:cs="Times New Roman"/>
      <w:color w:val="000000"/>
      <w:sz w:val="18"/>
      <w:szCs w:val="18"/>
      <w:u w:val="none"/>
    </w:rPr>
  </w:style>
  <w:style w:type="paragraph" w:customStyle="1" w:styleId="298">
    <w:name w:val="首行缩进表格正文"/>
    <w:basedOn w:val="1"/>
    <w:autoRedefine/>
    <w:qFormat/>
    <w:uiPriority w:val="0"/>
    <w:pPr>
      <w:spacing w:line="360" w:lineRule="auto"/>
      <w:ind w:firstLine="720" w:firstLineChars="200"/>
      <w:jc w:val="left"/>
    </w:pPr>
    <w:rPr>
      <w:rFonts w:ascii="Times New Roman" w:hAnsi="Times New Roman" w:eastAsia="宋体"/>
      <w:sz w:val="21"/>
    </w:rPr>
  </w:style>
  <w:style w:type="paragraph" w:customStyle="1" w:styleId="299">
    <w:name w:val="样式 标题 3 + Arial"/>
    <w:basedOn w:val="1"/>
    <w:autoRedefine/>
    <w:qFormat/>
    <w:uiPriority w:val="0"/>
    <w:rPr>
      <w:rFonts w:ascii="Times New Roman"/>
    </w:rPr>
  </w:style>
  <w:style w:type="paragraph" w:customStyle="1" w:styleId="300">
    <w:name w:val="LXT正文"/>
    <w:basedOn w:val="1"/>
    <w:autoRedefine/>
    <w:qFormat/>
    <w:uiPriority w:val="0"/>
    <w:pPr>
      <w:spacing w:line="360" w:lineRule="auto"/>
      <w:ind w:firstLine="480" w:firstLineChars="200"/>
    </w:pPr>
    <w:rPr>
      <w:rFonts w:ascii="宋体" w:hAnsi="宋体"/>
      <w:kern w:val="0"/>
      <w:sz w:val="24"/>
      <w:szCs w:val="24"/>
      <w:lang w:bidi="en-US"/>
    </w:rPr>
  </w:style>
  <w:style w:type="paragraph" w:customStyle="1" w:styleId="301">
    <w:name w:val="Normal"/>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302">
    <w:name w:val="填表样式"/>
    <w:basedOn w:val="1"/>
    <w:autoRedefine/>
    <w:qFormat/>
    <w:uiPriority w:val="0"/>
    <w:pPr>
      <w:adjustRightInd w:val="0"/>
      <w:snapToGrid w:val="0"/>
      <w:spacing w:line="360" w:lineRule="auto"/>
      <w:ind w:firstLine="720" w:firstLineChars="200"/>
    </w:pPr>
    <w:rPr>
      <w:rFonts w:ascii="Times New Roman" w:hAnsi="Times New Roman"/>
    </w:rPr>
  </w:style>
  <w:style w:type="character" w:customStyle="1" w:styleId="303">
    <w:name w:val="font41"/>
    <w:basedOn w:val="46"/>
    <w:autoRedefine/>
    <w:qFormat/>
    <w:uiPriority w:val="0"/>
    <w:rPr>
      <w:rFonts w:ascii="PMingLiU" w:hAnsi="PMingLiU" w:eastAsia="PMingLiU" w:cs="PMingLiU"/>
      <w:color w:val="000000"/>
      <w:sz w:val="20"/>
      <w:szCs w:val="20"/>
      <w:u w:val="none"/>
    </w:rPr>
  </w:style>
  <w:style w:type="paragraph" w:customStyle="1" w:styleId="304">
    <w:name w:val="Char Char Char Char Char Char Char2"/>
    <w:basedOn w:val="1"/>
    <w:autoRedefine/>
    <w:qFormat/>
    <w:uiPriority w:val="0"/>
    <w:pPr>
      <w:snapToGrid w:val="0"/>
      <w:spacing w:line="360" w:lineRule="auto"/>
      <w:ind w:firstLine="529" w:firstLineChars="200"/>
    </w:pPr>
    <w:rPr>
      <w:rFonts w:ascii="Times New Roman" w:hAnsi="Times New Roman" w:cs="Times New Roman"/>
      <w:szCs w:val="24"/>
    </w:rPr>
  </w:style>
  <w:style w:type="paragraph" w:customStyle="1" w:styleId="305">
    <w:name w:val="WPSOffice手动目录 1"/>
    <w:autoRedefine/>
    <w:qFormat/>
    <w:uiPriority w:val="0"/>
    <w:pPr>
      <w:ind w:leftChars="0"/>
    </w:pPr>
    <w:rPr>
      <w:rFonts w:ascii="Times New Roman" w:hAnsi="Times New Roman" w:eastAsia="宋体" w:cs="Times New Roman"/>
      <w:sz w:val="20"/>
      <w:szCs w:val="20"/>
    </w:rPr>
  </w:style>
  <w:style w:type="paragraph" w:customStyle="1" w:styleId="306">
    <w:name w:val="WPSOffice手动目录 2"/>
    <w:autoRedefine/>
    <w:qFormat/>
    <w:uiPriority w:val="0"/>
    <w:pPr>
      <w:ind w:leftChars="200"/>
    </w:pPr>
    <w:rPr>
      <w:rFonts w:ascii="Times New Roman" w:hAnsi="Times New Roman" w:eastAsia="宋体" w:cs="Times New Roman"/>
      <w:sz w:val="20"/>
      <w:szCs w:val="20"/>
    </w:rPr>
  </w:style>
  <w:style w:type="paragraph" w:customStyle="1" w:styleId="307">
    <w:name w:val="表中字"/>
    <w:basedOn w:val="1"/>
    <w:autoRedefine/>
    <w:qFormat/>
    <w:uiPriority w:val="0"/>
    <w:pPr>
      <w:spacing w:line="240" w:lineRule="atLeast"/>
      <w:jc w:val="center"/>
    </w:pPr>
    <w:rPr>
      <w:szCs w:val="22"/>
      <w:lang w:val="zh-CN"/>
    </w:rPr>
  </w:style>
  <w:style w:type="paragraph" w:customStyle="1" w:styleId="308">
    <w:name w:val="表内"/>
    <w:basedOn w:val="1"/>
    <w:autoRedefine/>
    <w:qFormat/>
    <w:uiPriority w:val="0"/>
    <w:pPr>
      <w:spacing w:line="240" w:lineRule="atLeast"/>
      <w:ind w:firstLine="0" w:firstLineChars="0"/>
      <w:jc w:val="center"/>
    </w:pPr>
    <w:rPr>
      <w:sz w:val="21"/>
    </w:rPr>
  </w:style>
  <w:style w:type="paragraph" w:customStyle="1" w:styleId="309">
    <w:name w:val="首行缩进正文"/>
    <w:basedOn w:val="124"/>
    <w:autoRedefine/>
    <w:qFormat/>
    <w:uiPriority w:val="0"/>
    <w:rPr>
      <w:sz w:val="21"/>
    </w:rPr>
  </w:style>
  <w:style w:type="paragraph" w:customStyle="1" w:styleId="310">
    <w:name w:val="表格里"/>
    <w:basedOn w:val="179"/>
    <w:next w:val="179"/>
    <w:autoRedefine/>
    <w:qFormat/>
    <w:uiPriority w:val="0"/>
    <w:pPr>
      <w:spacing w:line="240" w:lineRule="auto"/>
      <w:ind w:firstLine="0" w:firstLineChars="0"/>
      <w:jc w:val="center"/>
      <w:outlineLvl w:val="9"/>
    </w:pPr>
    <w:rPr>
      <w:rFonts w:ascii="Times New Roman" w:hAnsi="Times New Roman" w:eastAsia="宋体" w:cs="Times New Roman"/>
      <w:snapToGrid w:val="0"/>
      <w:color w:val="auto"/>
    </w:rPr>
  </w:style>
  <w:style w:type="paragraph" w:customStyle="1" w:styleId="311">
    <w:name w:val="图注"/>
    <w:basedOn w:val="1"/>
    <w:autoRedefine/>
    <w:unhideWhenUsed/>
    <w:qFormat/>
    <w:uiPriority w:val="0"/>
    <w:pPr>
      <w:spacing w:beforeLines="0" w:afterLines="0"/>
      <w:jc w:val="center"/>
    </w:pPr>
    <w:rPr>
      <w:rFonts w:hint="default" w:ascii="Courier New" w:hAnsi="Courier New" w:eastAsia="黑体"/>
      <w:sz w:val="21"/>
      <w:szCs w:val="24"/>
    </w:rPr>
  </w:style>
  <w:style w:type="paragraph" w:customStyle="1" w:styleId="312">
    <w:name w:val="【表中表】居中"/>
    <w:basedOn w:val="1"/>
    <w:autoRedefine/>
    <w:qFormat/>
    <w:uiPriority w:val="0"/>
    <w:pPr>
      <w:autoSpaceDE w:val="0"/>
      <w:autoSpaceDN w:val="0"/>
      <w:adjustRightInd w:val="0"/>
      <w:snapToGrid w:val="0"/>
      <w:jc w:val="center"/>
    </w:pPr>
    <w:rPr>
      <w:color w:val="4F81BD" w:themeColor="accent1"/>
      <w14:textFill>
        <w14:solidFill>
          <w14:schemeClr w14:val="accent1"/>
        </w14:solidFill>
      </w14:textFill>
    </w:rPr>
  </w:style>
  <w:style w:type="paragraph" w:customStyle="1" w:styleId="313">
    <w:name w:val="【表头】0"/>
    <w:basedOn w:val="120"/>
    <w:autoRedefine/>
    <w:qFormat/>
    <w:uiPriority w:val="0"/>
    <w:pPr>
      <w:adjustRightInd w:val="0"/>
      <w:snapToGrid w:val="0"/>
      <w:spacing w:line="400" w:lineRule="exact"/>
    </w:pPr>
    <w:rPr>
      <w:rFonts w:eastAsia="宋体"/>
      <w:sz w:val="24"/>
    </w:rPr>
  </w:style>
  <w:style w:type="paragraph" w:customStyle="1" w:styleId="314">
    <w:name w:val="我的正文"/>
    <w:basedOn w:val="1"/>
    <w:autoRedefine/>
    <w:qFormat/>
    <w:uiPriority w:val="0"/>
    <w:pPr>
      <w:ind w:firstLine="538"/>
    </w:pPr>
    <w:rPr>
      <w:sz w:val="28"/>
      <w:szCs w:val="20"/>
    </w:rPr>
  </w:style>
  <w:style w:type="paragraph" w:customStyle="1" w:styleId="315">
    <w:name w:val="xl27"/>
    <w:basedOn w:val="1"/>
    <w:autoRedefine/>
    <w:qFormat/>
    <w:uiPriority w:val="0"/>
    <w:pPr>
      <w:widowControl/>
      <w:pBdr>
        <w:bottom w:val="single" w:color="auto" w:sz="4" w:space="0"/>
        <w:right w:val="single" w:color="auto" w:sz="4" w:space="0"/>
      </w:pBdr>
      <w:spacing w:before="100" w:beforeAutospacing="1" w:after="100" w:afterAutospacing="1" w:line="240" w:lineRule="auto"/>
      <w:ind w:firstLine="0" w:firstLineChars="0"/>
      <w:jc w:val="center"/>
    </w:pPr>
    <w:rPr>
      <w:kern w:val="0"/>
      <w:szCs w:val="20"/>
    </w:rPr>
  </w:style>
  <w:style w:type="paragraph" w:customStyle="1" w:styleId="316">
    <w:name w:val="11111"/>
    <w:basedOn w:val="1"/>
    <w:next w:val="1"/>
    <w:autoRedefine/>
    <w:qFormat/>
    <w:uiPriority w:val="0"/>
    <w:pPr>
      <w:spacing w:line="360" w:lineRule="auto"/>
      <w:ind w:firstLine="200" w:firstLineChars="200"/>
    </w:pPr>
    <w:rPr>
      <w:rFonts w:ascii="宋体" w:hAnsi="宋体" w:cs="宋体"/>
      <w:sz w:val="24"/>
      <w:szCs w:val="24"/>
    </w:rPr>
  </w:style>
  <w:style w:type="paragraph" w:customStyle="1" w:styleId="317">
    <w:name w:val="BodyText"/>
    <w:basedOn w:val="1"/>
    <w:autoRedefine/>
    <w:qFormat/>
    <w:uiPriority w:val="0"/>
    <w:pPr>
      <w:spacing w:after="120"/>
      <w:textAlignment w:val="baseline"/>
    </w:pPr>
  </w:style>
  <w:style w:type="paragraph" w:customStyle="1" w:styleId="318">
    <w:name w:val="内容列表"/>
    <w:basedOn w:val="1"/>
    <w:autoRedefine/>
    <w:qFormat/>
    <w:uiPriority w:val="99"/>
    <w:pPr>
      <w:spacing w:line="480" w:lineRule="exact"/>
      <w:ind w:firstLine="480" w:firstLineChars="200"/>
    </w:pPr>
    <w:rPr>
      <w:rFonts w:ascii="宋体" w:hAnsi="宋体"/>
      <w:bCs/>
      <w:sz w:val="24"/>
    </w:rPr>
  </w:style>
  <w:style w:type="paragraph" w:customStyle="1" w:styleId="319">
    <w:name w:val="图表"/>
    <w:basedOn w:val="1"/>
    <w:next w:val="94"/>
    <w:autoRedefine/>
    <w:qFormat/>
    <w:uiPriority w:val="0"/>
    <w:pPr>
      <w:keepNext/>
      <w:keepLines/>
      <w:adjustRightInd w:val="0"/>
      <w:snapToGrid w:val="0"/>
      <w:ind w:firstLine="0" w:firstLineChars="0"/>
      <w:jc w:val="center"/>
      <w:outlineLvl w:val="3"/>
    </w:pPr>
    <w:rPr>
      <w:rFonts w:hint="eastAsia"/>
      <w:b/>
      <w:kern w:val="44"/>
    </w:rPr>
  </w:style>
  <w:style w:type="paragraph" w:customStyle="1" w:styleId="320">
    <w:name w:val="②JM表格 居中 仿宋"/>
    <w:basedOn w:val="321"/>
    <w:next w:val="323"/>
    <w:autoRedefine/>
    <w:qFormat/>
    <w:uiPriority w:val="0"/>
    <w:pPr>
      <w:spacing w:line="240" w:lineRule="auto"/>
    </w:pPr>
    <w:rPr>
      <w:b w:val="0"/>
    </w:rPr>
  </w:style>
  <w:style w:type="paragraph" w:customStyle="1" w:styleId="321">
    <w:name w:val="②JM表格小标题 仿宋"/>
    <w:basedOn w:val="322"/>
    <w:next w:val="323"/>
    <w:autoRedefine/>
    <w:qFormat/>
    <w:uiPriority w:val="0"/>
    <w:pPr>
      <w:spacing w:line="360" w:lineRule="auto"/>
    </w:pPr>
    <w:rPr>
      <w:rFonts w:eastAsia="仿宋"/>
      <w:b/>
    </w:rPr>
  </w:style>
  <w:style w:type="paragraph" w:customStyle="1" w:styleId="322">
    <w:name w:val="①JM表格 居中"/>
    <w:basedOn w:val="1"/>
    <w:next w:val="1"/>
    <w:autoRedefine/>
    <w:qFormat/>
    <w:uiPriority w:val="0"/>
    <w:pPr>
      <w:spacing w:line="240" w:lineRule="auto"/>
      <w:ind w:firstLine="0" w:firstLineChars="0"/>
      <w:jc w:val="center"/>
    </w:pPr>
    <w:rPr>
      <w:rFonts w:ascii="Times New Roman" w:hAnsi="Times New Roman"/>
      <w:sz w:val="21"/>
    </w:rPr>
  </w:style>
  <w:style w:type="paragraph" w:customStyle="1" w:styleId="323">
    <w:name w:val="②JM正文"/>
    <w:basedOn w:val="324"/>
    <w:autoRedefine/>
    <w:qFormat/>
    <w:uiPriority w:val="0"/>
    <w:pPr>
      <w:spacing w:line="360" w:lineRule="auto"/>
      <w:ind w:firstLine="720" w:firstLineChars="200"/>
    </w:pPr>
    <w:rPr>
      <w:rFonts w:eastAsia="宋体"/>
    </w:rPr>
  </w:style>
  <w:style w:type="paragraph" w:customStyle="1" w:styleId="324">
    <w:name w:val="②JM正文 顶格"/>
    <w:basedOn w:val="322"/>
    <w:next w:val="323"/>
    <w:autoRedefine/>
    <w:qFormat/>
    <w:uiPriority w:val="0"/>
    <w:pPr>
      <w:spacing w:line="360" w:lineRule="auto"/>
      <w:jc w:val="left"/>
    </w:pPr>
    <w:rPr>
      <w:rFonts w:eastAsia="宋体"/>
    </w:rPr>
  </w:style>
  <w:style w:type="paragraph" w:customStyle="1" w:styleId="325">
    <w:name w:val="表内式样"/>
    <w:qFormat/>
    <w:uiPriority w:val="0"/>
    <w:pPr>
      <w:keepLines/>
      <w:widowControl w:val="0"/>
      <w:kinsoku w:val="0"/>
      <w:overflowPunct w:val="0"/>
      <w:adjustRightInd w:val="0"/>
      <w:jc w:val="center"/>
    </w:pPr>
    <w:rPr>
      <w:rFonts w:ascii="宋体" w:hAnsi="Times New Roman" w:eastAsia="宋体" w:cs="Times New Roman"/>
      <w:sz w:val="21"/>
      <w:szCs w:val="21"/>
      <w:lang w:val="en-US" w:eastAsia="zh-CN" w:bidi="ar-SA"/>
    </w:rPr>
  </w:style>
  <w:style w:type="paragraph" w:customStyle="1" w:styleId="326">
    <w:name w:val="正文小"/>
    <w:basedOn w:val="1"/>
    <w:autoRedefine/>
    <w:qFormat/>
    <w:uiPriority w:val="0"/>
    <w:pPr>
      <w:keepNext w:val="0"/>
      <w:keepLines w:val="0"/>
      <w:spacing w:line="560" w:lineRule="exact"/>
      <w:ind w:left="0" w:firstLine="1440" w:firstLineChars="200"/>
      <w:outlineLvl w:val="9"/>
    </w:pPr>
    <w:rPr>
      <w:rFonts w:hint="eastAsia" w:ascii="Times New Roman" w:hAnsi="Times New Roman" w:eastAsia="仿宋_GB2312"/>
      <w:sz w:val="28"/>
      <w:szCs w:val="32"/>
    </w:rPr>
  </w:style>
  <w:style w:type="paragraph" w:customStyle="1" w:styleId="327">
    <w:name w:val="li_正文"/>
    <w:basedOn w:val="1"/>
    <w:qFormat/>
    <w:uiPriority w:val="0"/>
    <w:pPr>
      <w:ind w:firstLine="200" w:firstLineChars="200"/>
      <w:jc w:val="left"/>
    </w:pPr>
    <w:rPr>
      <w:rFonts w:ascii="华康简宋" w:hAnsi="华康简宋" w:eastAsia="等线" w:cs="华康简宋"/>
      <w:sz w:val="28"/>
      <w:szCs w:val="28"/>
    </w:rPr>
  </w:style>
  <w:style w:type="paragraph" w:customStyle="1" w:styleId="328">
    <w:name w:val="表格题目"/>
    <w:basedOn w:val="1"/>
    <w:autoRedefine/>
    <w:qFormat/>
    <w:uiPriority w:val="0"/>
    <w:pPr>
      <w:spacing w:line="240" w:lineRule="atLeast"/>
      <w:jc w:val="center"/>
    </w:pPr>
    <w:rPr>
      <w:rFonts w:ascii="黑体" w:hAnsi="宋体" w:eastAsia="黑体"/>
      <w:sz w:val="24"/>
    </w:rPr>
  </w:style>
</w:styles>
</file>

<file path=word/_rels/document.xml.rels><?xml version="1.0" encoding="UTF-8" standalone="yes"?>
<Relationships xmlns="http://schemas.openxmlformats.org/package/2006/relationships"><Relationship Id="rId97" Type="http://schemas.openxmlformats.org/officeDocument/2006/relationships/fontTable" Target="fontTable.xml"/><Relationship Id="rId96" Type="http://schemas.openxmlformats.org/officeDocument/2006/relationships/numbering" Target="numbering.xml"/><Relationship Id="rId95" Type="http://schemas.openxmlformats.org/officeDocument/2006/relationships/customXml" Target="../customXml/item1.xml"/><Relationship Id="rId94" Type="http://schemas.openxmlformats.org/officeDocument/2006/relationships/image" Target="media/image72.png"/><Relationship Id="rId93" Type="http://schemas.openxmlformats.org/officeDocument/2006/relationships/image" Target="media/image71.png"/><Relationship Id="rId92" Type="http://schemas.openxmlformats.org/officeDocument/2006/relationships/image" Target="media/image70.png"/><Relationship Id="rId91" Type="http://schemas.openxmlformats.org/officeDocument/2006/relationships/image" Target="media/image69.png"/><Relationship Id="rId90" Type="http://schemas.openxmlformats.org/officeDocument/2006/relationships/image" Target="media/image68.png"/><Relationship Id="rId9" Type="http://schemas.openxmlformats.org/officeDocument/2006/relationships/header" Target="header1.xml"/><Relationship Id="rId89" Type="http://schemas.openxmlformats.org/officeDocument/2006/relationships/image" Target="media/image67.png"/><Relationship Id="rId88" Type="http://schemas.openxmlformats.org/officeDocument/2006/relationships/image" Target="media/image66.png"/><Relationship Id="rId87" Type="http://schemas.openxmlformats.org/officeDocument/2006/relationships/image" Target="media/image65.png"/><Relationship Id="rId86" Type="http://schemas.openxmlformats.org/officeDocument/2006/relationships/image" Target="media/image64.png"/><Relationship Id="rId85" Type="http://schemas.openxmlformats.org/officeDocument/2006/relationships/image" Target="media/image63.png"/><Relationship Id="rId84" Type="http://schemas.openxmlformats.org/officeDocument/2006/relationships/image" Target="media/image62.png"/><Relationship Id="rId83" Type="http://schemas.openxmlformats.org/officeDocument/2006/relationships/image" Target="media/image61.png"/><Relationship Id="rId82" Type="http://schemas.openxmlformats.org/officeDocument/2006/relationships/image" Target="media/image60.png"/><Relationship Id="rId81" Type="http://schemas.openxmlformats.org/officeDocument/2006/relationships/image" Target="media/image59.png"/><Relationship Id="rId80" Type="http://schemas.openxmlformats.org/officeDocument/2006/relationships/image" Target="media/image58.png"/><Relationship Id="rId8" Type="http://schemas.openxmlformats.org/officeDocument/2006/relationships/footer" Target="footer6.xml"/><Relationship Id="rId79" Type="http://schemas.openxmlformats.org/officeDocument/2006/relationships/image" Target="media/image57.png"/><Relationship Id="rId78" Type="http://schemas.openxmlformats.org/officeDocument/2006/relationships/image" Target="media/image56.png"/><Relationship Id="rId77" Type="http://schemas.openxmlformats.org/officeDocument/2006/relationships/image" Target="media/image55.png"/><Relationship Id="rId76" Type="http://schemas.openxmlformats.org/officeDocument/2006/relationships/image" Target="media/image54.png"/><Relationship Id="rId75" Type="http://schemas.openxmlformats.org/officeDocument/2006/relationships/image" Target="media/image53.png"/><Relationship Id="rId74" Type="http://schemas.openxmlformats.org/officeDocument/2006/relationships/image" Target="media/image52.png"/><Relationship Id="rId73" Type="http://schemas.openxmlformats.org/officeDocument/2006/relationships/image" Target="media/image51.png"/><Relationship Id="rId72" Type="http://schemas.openxmlformats.org/officeDocument/2006/relationships/image" Target="media/image50.png"/><Relationship Id="rId71" Type="http://schemas.openxmlformats.org/officeDocument/2006/relationships/image" Target="media/image49.png"/><Relationship Id="rId70" Type="http://schemas.openxmlformats.org/officeDocument/2006/relationships/image" Target="media/image48.png"/><Relationship Id="rId7" Type="http://schemas.openxmlformats.org/officeDocument/2006/relationships/footer" Target="footer5.xml"/><Relationship Id="rId69" Type="http://schemas.openxmlformats.org/officeDocument/2006/relationships/image" Target="media/image47.png"/><Relationship Id="rId68" Type="http://schemas.openxmlformats.org/officeDocument/2006/relationships/image" Target="media/image46.jpeg"/><Relationship Id="rId67" Type="http://schemas.openxmlformats.org/officeDocument/2006/relationships/image" Target="media/image45.jpeg"/><Relationship Id="rId66" Type="http://schemas.openxmlformats.org/officeDocument/2006/relationships/image" Target="media/image44.jpeg"/><Relationship Id="rId65" Type="http://schemas.openxmlformats.org/officeDocument/2006/relationships/image" Target="media/image43.jpeg"/><Relationship Id="rId64" Type="http://schemas.openxmlformats.org/officeDocument/2006/relationships/image" Target="media/image42.jpeg"/><Relationship Id="rId63" Type="http://schemas.openxmlformats.org/officeDocument/2006/relationships/image" Target="media/image41.jpeg"/><Relationship Id="rId62" Type="http://schemas.openxmlformats.org/officeDocument/2006/relationships/image" Target="media/image40.png"/><Relationship Id="rId61" Type="http://schemas.openxmlformats.org/officeDocument/2006/relationships/image" Target="media/image39.png"/><Relationship Id="rId60" Type="http://schemas.openxmlformats.org/officeDocument/2006/relationships/image" Target="media/image38.png"/><Relationship Id="rId6" Type="http://schemas.openxmlformats.org/officeDocument/2006/relationships/footer" Target="footer4.xml"/><Relationship Id="rId59" Type="http://schemas.openxmlformats.org/officeDocument/2006/relationships/image" Target="media/image37.png"/><Relationship Id="rId58" Type="http://schemas.openxmlformats.org/officeDocument/2006/relationships/image" Target="media/image36.jpeg"/><Relationship Id="rId57" Type="http://schemas.openxmlformats.org/officeDocument/2006/relationships/image" Target="media/image35.wmf"/><Relationship Id="rId56" Type="http://schemas.openxmlformats.org/officeDocument/2006/relationships/oleObject" Target="embeddings/oleObject11.bin"/><Relationship Id="rId55" Type="http://schemas.openxmlformats.org/officeDocument/2006/relationships/image" Target="media/image34.wmf"/><Relationship Id="rId54" Type="http://schemas.openxmlformats.org/officeDocument/2006/relationships/oleObject" Target="embeddings/oleObject10.bin"/><Relationship Id="rId53" Type="http://schemas.openxmlformats.org/officeDocument/2006/relationships/image" Target="media/image33.wmf"/><Relationship Id="rId52" Type="http://schemas.openxmlformats.org/officeDocument/2006/relationships/oleObject" Target="embeddings/oleObject9.bin"/><Relationship Id="rId51" Type="http://schemas.openxmlformats.org/officeDocument/2006/relationships/image" Target="media/image32.wmf"/><Relationship Id="rId50" Type="http://schemas.openxmlformats.org/officeDocument/2006/relationships/oleObject" Target="embeddings/oleObject8.bin"/><Relationship Id="rId5" Type="http://schemas.openxmlformats.org/officeDocument/2006/relationships/footer" Target="footer3.xml"/><Relationship Id="rId49" Type="http://schemas.openxmlformats.org/officeDocument/2006/relationships/image" Target="media/image31.wmf"/><Relationship Id="rId48" Type="http://schemas.openxmlformats.org/officeDocument/2006/relationships/oleObject" Target="embeddings/oleObject7.bin"/><Relationship Id="rId47" Type="http://schemas.openxmlformats.org/officeDocument/2006/relationships/image" Target="media/image30.wmf"/><Relationship Id="rId46" Type="http://schemas.openxmlformats.org/officeDocument/2006/relationships/oleObject" Target="embeddings/oleObject6.bin"/><Relationship Id="rId45" Type="http://schemas.openxmlformats.org/officeDocument/2006/relationships/image" Target="media/image29.png"/><Relationship Id="rId44" Type="http://schemas.openxmlformats.org/officeDocument/2006/relationships/image" Target="media/image28.png"/><Relationship Id="rId43" Type="http://schemas.openxmlformats.org/officeDocument/2006/relationships/image" Target="media/image27.png"/><Relationship Id="rId42" Type="http://schemas.openxmlformats.org/officeDocument/2006/relationships/image" Target="media/image26.png"/><Relationship Id="rId41" Type="http://schemas.openxmlformats.org/officeDocument/2006/relationships/image" Target="media/image25.png"/><Relationship Id="rId40" Type="http://schemas.openxmlformats.org/officeDocument/2006/relationships/image" Target="media/image24.png"/><Relationship Id="rId4" Type="http://schemas.openxmlformats.org/officeDocument/2006/relationships/footer" Target="footer2.xml"/><Relationship Id="rId39" Type="http://schemas.openxmlformats.org/officeDocument/2006/relationships/image" Target="media/image23.wmf"/><Relationship Id="rId38" Type="http://schemas.openxmlformats.org/officeDocument/2006/relationships/image" Target="media/image22.wmf"/><Relationship Id="rId37" Type="http://schemas.openxmlformats.org/officeDocument/2006/relationships/image" Target="media/image21.png"/><Relationship Id="rId36" Type="http://schemas.openxmlformats.org/officeDocument/2006/relationships/image" Target="media/image20.png"/><Relationship Id="rId35" Type="http://schemas.openxmlformats.org/officeDocument/2006/relationships/image" Target="media/image19.jpeg"/><Relationship Id="rId34" Type="http://schemas.openxmlformats.org/officeDocument/2006/relationships/image" Target="media/image18.jpeg"/><Relationship Id="rId33" Type="http://schemas.openxmlformats.org/officeDocument/2006/relationships/image" Target="media/image17.png"/><Relationship Id="rId32" Type="http://schemas.openxmlformats.org/officeDocument/2006/relationships/image" Target="media/image16.png"/><Relationship Id="rId31" Type="http://schemas.openxmlformats.org/officeDocument/2006/relationships/image" Target="media/image15.png"/><Relationship Id="rId30" Type="http://schemas.openxmlformats.org/officeDocument/2006/relationships/image" Target="media/image14.wmf"/><Relationship Id="rId3" Type="http://schemas.openxmlformats.org/officeDocument/2006/relationships/footer" Target="footer1.xml"/><Relationship Id="rId29" Type="http://schemas.openxmlformats.org/officeDocument/2006/relationships/oleObject" Target="embeddings/oleObject5.bin"/><Relationship Id="rId28" Type="http://schemas.openxmlformats.org/officeDocument/2006/relationships/image" Target="media/image13.wmf"/><Relationship Id="rId27" Type="http://schemas.openxmlformats.org/officeDocument/2006/relationships/oleObject" Target="embeddings/oleObject4.bin"/><Relationship Id="rId26" Type="http://schemas.openxmlformats.org/officeDocument/2006/relationships/image" Target="media/image12.wmf"/><Relationship Id="rId25" Type="http://schemas.openxmlformats.org/officeDocument/2006/relationships/oleObject" Target="embeddings/oleObject3.bin"/><Relationship Id="rId24" Type="http://schemas.openxmlformats.org/officeDocument/2006/relationships/image" Target="media/image11.wmf"/><Relationship Id="rId23" Type="http://schemas.openxmlformats.org/officeDocument/2006/relationships/oleObject" Target="embeddings/oleObject2.bin"/><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emf"/><Relationship Id="rId17" Type="http://schemas.openxmlformats.org/officeDocument/2006/relationships/oleObject" Target="embeddings/oleObject1.bin"/><Relationship Id="rId16" Type="http://schemas.openxmlformats.org/officeDocument/2006/relationships/image" Target="media/image5.png"/><Relationship Id="rId15" Type="http://schemas.openxmlformats.org/officeDocument/2006/relationships/image" Target="media/image4.png"/><Relationship Id="rId14" Type="http://schemas.openxmlformats.org/officeDocument/2006/relationships/image" Target="media/image3.png"/><Relationship Id="rId13" Type="http://schemas.openxmlformats.org/officeDocument/2006/relationships/image" Target="media/image2.jpe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spPr>
      <a:bodyPr rot="0" vertOverflow="overflow" horzOverflow="overflow" vert="horz" wrap="square" lIns="91440" tIns="45720" rIns="91440" bIns="45720" numCol="1" spcCol="0" rtlCol="0" fromWordArt="0" anchor="ctr" anchorCtr="0" forceAA="0" compatLnSpc="1">
        <a:noAutofit/>
      </a:bodyP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70</Pages>
  <Words>10541</Words>
  <Characters>11735</Characters>
  <Lines>137</Lines>
  <Paragraphs>38</Paragraphs>
  <TotalTime>2</TotalTime>
  <ScaleCrop>false</ScaleCrop>
  <LinksUpToDate>false</LinksUpToDate>
  <CharactersWithSpaces>11868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鱼别渊</cp:lastModifiedBy>
  <cp:lastPrinted>2023-06-15T05:06:00Z</cp:lastPrinted>
  <dcterms:modified xsi:type="dcterms:W3CDTF">2025-11-03T02:46:28Z</dcterms:modified>
  <dc:title>附件2</dc:title>
  <cp:revision>165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5A74D0B075464349A24A58B5E3F6A6E6_13</vt:lpwstr>
  </property>
  <property fmtid="{D5CDD505-2E9C-101B-9397-08002B2CF9AE}" pid="4" name="KSOTemplateDocerSaveRecord">
    <vt:lpwstr>eyJoZGlkIjoiYTI4OWI2MzQzNTFjNzk1OTc2MGYxODczZWU3MWU3YWYiLCJ1c2VySWQiOiI5MTUwNDE5ODgifQ==</vt:lpwstr>
  </property>
</Properties>
</file>